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МИНИСТЕРСТВО ПРО</w:t>
      </w:r>
      <w:bookmarkStart w:id="0" w:name="_GoBack"/>
      <w:bookmarkEnd w:id="0"/>
      <w:r>
        <w:rPr>
          <w:color w:val="343A40"/>
        </w:rPr>
        <w:t>СВЕЩЕНИЯ РОССИЙСКОЙ ФЕДЕРАЦИИ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РАСПОРЯЖЕНИЕ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proofErr w:type="gramStart"/>
      <w:r>
        <w:rPr>
          <w:color w:val="343A40"/>
        </w:rPr>
        <w:t>от</w:t>
      </w:r>
      <w:proofErr w:type="gramEnd"/>
      <w:r>
        <w:rPr>
          <w:color w:val="343A40"/>
        </w:rPr>
        <w:t xml:space="preserve"> 25 декабря 2019 г. N Р-145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ОБ УТВЕРЖДЕНИИ МЕТОДОЛОГИИ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(ЦЕЛЕВОЙ МОДЕЛИ) НАСТАВНИЧЕСТВА ОБУЧАЮЩИХСЯ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ДЛЯ ОРГАНИЗАЦИЙ, ОСУЩЕСТВЛЯЮЩИХ ОБРАЗОВАТЕЛЬНУЮ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ДЕЯТЕЛЬНОСТЬ ПО ОБЩЕОБРАЗОВАТЕЛЬНЫМ, ДОПОЛНИТЕЛЬНЫМ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ОБЩЕОБРАЗОВАТЕЛЬНЫМ И ПРОГРАММАМ СРЕДНЕГО ПРОФЕССИОНАЛЬНОГО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ОБРАЗОВАНИЯ, В ТОМ ЧИСЛЕ С ПРИМЕНЕНИЕМ ЛУЧШИХ ПРАКТИК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ОБМЕНА ОПЫТОМ МЕЖДУ ОБУЧАЮЩИМИСЯ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В целях достижения сквозного результата "Разработана методология (целевая модель)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 федеральных проектов "Современная школа" (Е01.01.04), "Успех каждого ребенка" (Е02.02.06) и "Молодые профессионалы (Повышение конкурентоспособности профессионального образования)" (Е06.06.06) национального проекта "Образование":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1. Утвердить методологию (целевую модель)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2. Рекомендовать органам исполнительной власти субъектов Российской Федерации, осуществляющим государственное управление в сфере образования, организовать внедрение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lastRenderedPageBreak/>
        <w:t>3. Контроль за исполнением настоящего распоряжения оставляю за собой.</w:t>
      </w:r>
    </w:p>
    <w:p w:rsidR="00FD0E8E" w:rsidRDefault="00FD0E8E" w:rsidP="00FD0E8E">
      <w:pPr>
        <w:pStyle w:val="ar"/>
        <w:shd w:val="clear" w:color="auto" w:fill="F8F9FA"/>
        <w:spacing w:line="390" w:lineRule="atLeast"/>
        <w:jc w:val="right"/>
        <w:rPr>
          <w:color w:val="343A40"/>
        </w:rPr>
      </w:pPr>
      <w:r>
        <w:rPr>
          <w:color w:val="343A40"/>
        </w:rPr>
        <w:t>Заместитель Министра</w:t>
      </w:r>
    </w:p>
    <w:p w:rsidR="00FD0E8E" w:rsidRDefault="00FD0E8E" w:rsidP="00FD0E8E">
      <w:pPr>
        <w:pStyle w:val="ar"/>
        <w:shd w:val="clear" w:color="auto" w:fill="F8F9FA"/>
        <w:spacing w:line="390" w:lineRule="atLeast"/>
        <w:jc w:val="right"/>
        <w:rPr>
          <w:color w:val="343A40"/>
        </w:rPr>
      </w:pPr>
      <w:r>
        <w:rPr>
          <w:color w:val="343A40"/>
        </w:rPr>
        <w:t>М.Н.РАКОВА</w:t>
      </w:r>
    </w:p>
    <w:p w:rsidR="00FD0E8E" w:rsidRDefault="00FD0E8E" w:rsidP="00FD0E8E">
      <w:pPr>
        <w:pStyle w:val="ar"/>
        <w:shd w:val="clear" w:color="auto" w:fill="F8F9FA"/>
        <w:spacing w:line="390" w:lineRule="atLeast"/>
        <w:jc w:val="right"/>
        <w:rPr>
          <w:color w:val="343A40"/>
        </w:rPr>
      </w:pPr>
      <w:r>
        <w:rPr>
          <w:color w:val="343A40"/>
        </w:rPr>
        <w:t>Приложение</w:t>
      </w:r>
    </w:p>
    <w:p w:rsidR="00FD0E8E" w:rsidRDefault="00FD0E8E" w:rsidP="00FD0E8E">
      <w:pPr>
        <w:pStyle w:val="ar"/>
        <w:shd w:val="clear" w:color="auto" w:fill="F8F9FA"/>
        <w:spacing w:line="390" w:lineRule="atLeast"/>
        <w:jc w:val="right"/>
        <w:rPr>
          <w:color w:val="343A40"/>
        </w:rPr>
      </w:pPr>
      <w:r>
        <w:rPr>
          <w:color w:val="343A40"/>
        </w:rPr>
        <w:t>Утверждена</w:t>
      </w:r>
    </w:p>
    <w:p w:rsidR="00FD0E8E" w:rsidRDefault="00FD0E8E" w:rsidP="00FD0E8E">
      <w:pPr>
        <w:pStyle w:val="ar"/>
        <w:shd w:val="clear" w:color="auto" w:fill="F8F9FA"/>
        <w:spacing w:line="390" w:lineRule="atLeast"/>
        <w:jc w:val="right"/>
        <w:rPr>
          <w:color w:val="343A40"/>
        </w:rPr>
      </w:pPr>
      <w:proofErr w:type="gramStart"/>
      <w:r>
        <w:rPr>
          <w:color w:val="343A40"/>
        </w:rPr>
        <w:t>распоряжением</w:t>
      </w:r>
      <w:proofErr w:type="gramEnd"/>
    </w:p>
    <w:p w:rsidR="00FD0E8E" w:rsidRDefault="00FD0E8E" w:rsidP="00FD0E8E">
      <w:pPr>
        <w:pStyle w:val="ar"/>
        <w:shd w:val="clear" w:color="auto" w:fill="F8F9FA"/>
        <w:spacing w:line="390" w:lineRule="atLeast"/>
        <w:jc w:val="right"/>
        <w:rPr>
          <w:color w:val="343A40"/>
        </w:rPr>
      </w:pPr>
      <w:r>
        <w:rPr>
          <w:color w:val="343A40"/>
        </w:rPr>
        <w:t>Министерства просвещения</w:t>
      </w:r>
    </w:p>
    <w:p w:rsidR="00FD0E8E" w:rsidRDefault="00FD0E8E" w:rsidP="00FD0E8E">
      <w:pPr>
        <w:pStyle w:val="ar"/>
        <w:shd w:val="clear" w:color="auto" w:fill="F8F9FA"/>
        <w:spacing w:line="390" w:lineRule="atLeast"/>
        <w:jc w:val="right"/>
        <w:rPr>
          <w:color w:val="343A40"/>
        </w:rPr>
      </w:pPr>
      <w:r>
        <w:rPr>
          <w:color w:val="343A40"/>
        </w:rPr>
        <w:t>Российской Федерации</w:t>
      </w:r>
    </w:p>
    <w:p w:rsidR="00FD0E8E" w:rsidRDefault="00FD0E8E" w:rsidP="00FD0E8E">
      <w:pPr>
        <w:pStyle w:val="ar"/>
        <w:shd w:val="clear" w:color="auto" w:fill="F8F9FA"/>
        <w:spacing w:line="390" w:lineRule="atLeast"/>
        <w:jc w:val="right"/>
        <w:rPr>
          <w:color w:val="343A40"/>
        </w:rPr>
      </w:pPr>
      <w:proofErr w:type="gramStart"/>
      <w:r>
        <w:rPr>
          <w:color w:val="343A40"/>
        </w:rPr>
        <w:t>от</w:t>
      </w:r>
      <w:proofErr w:type="gramEnd"/>
      <w:r>
        <w:rPr>
          <w:color w:val="343A40"/>
        </w:rPr>
        <w:t xml:space="preserve"> 25 декабря 2019 г. N Р-145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МЕТОДОЛОГИЯ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(ЦЕЛЕВАЯ МОДЕЛЬ) НАСТАВНИЧЕСТВА ОБУЧАЮЩИХСЯ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ДЛЯ ОРГАНИЗАЦИЙ, ОСУЩЕСТВЛЯЮЩИХ ОБРАЗОВАТЕЛЬНУЮ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ДЕЯТЕЛЬНОСТЬ ПО ОБЩЕОБРАЗОВАТЕЛЬНЫМ, ДОПОЛНИТЕЛЬНЫМ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ОБЩЕОБРАЗОВАТЕЛЬНЫМ И ПРОГРАММАМ СРЕДНЕГО ПРОФЕССИОНАЛЬНОГО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ОБРАЗОВАНИЯ, В ТОМ ЧИСЛЕ С ПРИМЕНЕНИЕМ ЛУЧШИХ ПРАКТИК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ОБМЕНА ОПЫТОМ МЕЖДУ ОБУЧАЮЩИМИСЯ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1. Общие положения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 xml:space="preserve">1.1. Настоящая Целевая модель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программам и программам среднего профессионального образования (далее - Целевая модель наставничества), в том числе с применением лучших практик обмена опытом между обучающимися, разработана в целях достижения результатов федеральных проектов "Современная школа", "Молодые профессионалы (Повышение конкурентоспособности профессионального образования)" и "Успех каждого ребенка" национального проекта "Образование" и регулирует отношения, связанные с функционированием и развитием программ наставничества в субъектах Российской Федерации для организаций, осуществляющих образовательную деятельность </w:t>
      </w:r>
      <w:r>
        <w:rPr>
          <w:color w:val="343A40"/>
        </w:rPr>
        <w:lastRenderedPageBreak/>
        <w:t>по общеобразовательным, дополнительным общеобразовательным программам и образовательным программам среднего профессионального образования, в том числе с применением лучших практик обмена опытом между обучающимися.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1.2. Целью внедрения 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 в возрасте от 10 лет, педагогических работников (далее - педагоги) разных уровней образования и молодых специалистов, проживающих на территории Российской Федерации.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1.3. Задачи внедрения целевой модели наставничества: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улучшение</w:t>
      </w:r>
      <w:proofErr w:type="gramEnd"/>
      <w:r>
        <w:rPr>
          <w:color w:val="343A40"/>
        </w:rPr>
        <w:t xml:space="preserve"> показателей организаций, осуществляющих деятельность по общеобразовательным, дополнительным общеобразовательным программам и образовательным программам среднего профессионального образования (далее - образовательные организации) в образовательной, социокультурной, спортивной и других сферах;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подготовка</w:t>
      </w:r>
      <w:proofErr w:type="gramEnd"/>
      <w:r>
        <w:rPr>
          <w:color w:val="343A40"/>
        </w:rPr>
        <w:t xml:space="preserve"> обучающегося к самостоятельной, осознанной и социально продуктивной деятельности в современном мире, отличительными особенностями которого являются нестабильность, неопределенность, изменчивость, сложность, информационная насыщенность;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раскрытие</w:t>
      </w:r>
      <w:proofErr w:type="gramEnd"/>
      <w:r>
        <w:rPr>
          <w:color w:val="343A40"/>
        </w:rPr>
        <w:t xml:space="preserve"> личностного, творческого, профессионального потенциала каждого обучающегося, поддержка формирования и реализации индивидуальной образовательной траектории;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создание</w:t>
      </w:r>
      <w:proofErr w:type="gramEnd"/>
      <w:r>
        <w:rPr>
          <w:color w:val="343A40"/>
        </w:rPr>
        <w:t xml:space="preserve"> психологически комфортной среды для развития и повышения квалификации педагогов, увеличение числа закрепившихся в профессии педагогических кадров;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создание</w:t>
      </w:r>
      <w:proofErr w:type="gramEnd"/>
      <w:r>
        <w:rPr>
          <w:color w:val="343A40"/>
        </w:rPr>
        <w:t xml:space="preserve"> канала эффективного обмена личностным, жизненным и профессиональным опытом для каждого субъекта образовательной и профессиональной деятельности;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формирование</w:t>
      </w:r>
      <w:proofErr w:type="gramEnd"/>
      <w:r>
        <w:rPr>
          <w:color w:val="343A40"/>
        </w:rPr>
        <w:t xml:space="preserve"> открытого и эффективного сообщества вокруг образовательной организации, способного на комплексную поддержку ее деятельности, в котором выстроены доверительные и партнерские отношения.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lastRenderedPageBreak/>
        <w:t>1.4. Целевая модель наставничества представляет собой совокупность структурных компонентов и механизмов, обеспечивающих ее внедрение в образовательных организациях и достижение поставленных результатов. С точки зрения наставничества как процесса целевая модель описывает этапы реализации программ наставничества и роли участников, организующих эти этапы.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1.5. Внедрение целевой модели наставничества осуществляется субъектами Российской Федерации на основе методических рекомендаций Ведомственного проектного офиса национального проекта "Образование" (далее - ведомственный проектный офис).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1.6. Ведомственный проектный офис осуществляет методическое сопровождение внедрения настоящей целевой модели, в том числе путем направления методических рекомендаций.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2. Термины и определения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 xml:space="preserve">Наставничество - универсальная технология передачи опыта, знаний, формирования навыков, компетенций, </w:t>
      </w:r>
      <w:proofErr w:type="spellStart"/>
      <w:r>
        <w:rPr>
          <w:color w:val="343A40"/>
        </w:rPr>
        <w:t>метакомпетенций</w:t>
      </w:r>
      <w:proofErr w:type="spellEnd"/>
      <w:r>
        <w:rPr>
          <w:color w:val="343A40"/>
        </w:rPr>
        <w:t xml:space="preserve"> и ценностей через неформальное </w:t>
      </w:r>
      <w:proofErr w:type="spellStart"/>
      <w:r>
        <w:rPr>
          <w:color w:val="343A40"/>
        </w:rPr>
        <w:t>взаимообогащающее</w:t>
      </w:r>
      <w:proofErr w:type="spellEnd"/>
      <w:r>
        <w:rPr>
          <w:color w:val="343A40"/>
        </w:rPr>
        <w:t xml:space="preserve"> общение, основанное на доверии и партнерстве.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"обучающийся".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lastRenderedPageBreak/>
        <w:t>Куратор 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 наставничества.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Целевая модель наставничества - система условий, ресурсов и процессов, необходимых для реализации программ наставничества в образовательных организациях.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Методология наставничества 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Активное слушание 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уточнения, паузы и т.д. Применяется, в частности, в наставничестве, чтобы установить доверительные отношения между наставником и наставляемым.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spellStart"/>
      <w:r>
        <w:rPr>
          <w:color w:val="343A40"/>
        </w:rPr>
        <w:t>Буллинг</w:t>
      </w:r>
      <w:proofErr w:type="spellEnd"/>
      <w:r>
        <w:rPr>
          <w:color w:val="343A40"/>
        </w:rPr>
        <w:t xml:space="preserve"> 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>
        <w:rPr>
          <w:color w:val="343A40"/>
        </w:rPr>
        <w:t>буллинга</w:t>
      </w:r>
      <w:proofErr w:type="spellEnd"/>
      <w:r>
        <w:rPr>
          <w:color w:val="343A40"/>
        </w:rPr>
        <w:t xml:space="preserve"> - </w:t>
      </w:r>
      <w:proofErr w:type="spellStart"/>
      <w:r>
        <w:rPr>
          <w:color w:val="343A40"/>
        </w:rPr>
        <w:t>кибербуллинг</w:t>
      </w:r>
      <w:proofErr w:type="spellEnd"/>
      <w:r>
        <w:rPr>
          <w:color w:val="343A40"/>
        </w:rPr>
        <w:t>, травля в социальных сетях.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spellStart"/>
      <w:r>
        <w:rPr>
          <w:color w:val="343A40"/>
        </w:rPr>
        <w:t>Метакомпетенции</w:t>
      </w:r>
      <w:proofErr w:type="spellEnd"/>
      <w:r>
        <w:rPr>
          <w:color w:val="343A40"/>
        </w:rPr>
        <w:t xml:space="preserve"> 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spellStart"/>
      <w:r>
        <w:rPr>
          <w:color w:val="343A40"/>
        </w:rPr>
        <w:t>Тьютор</w:t>
      </w:r>
      <w:proofErr w:type="spellEnd"/>
      <w:r>
        <w:rPr>
          <w:color w:val="343A40"/>
        </w:rPr>
        <w:t xml:space="preserve"> - специалист в области педагогики, который помогает обучающемуся определиться с индивидуальным образовательным маршрутом.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 xml:space="preserve">Благодарный выпускник 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>
        <w:rPr>
          <w:color w:val="343A40"/>
        </w:rPr>
        <w:t>эндаумент</w:t>
      </w:r>
      <w:proofErr w:type="spellEnd"/>
      <w:r>
        <w:rPr>
          <w:color w:val="343A40"/>
        </w:rPr>
        <w:t>, организует стажировки и т.д.).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spellStart"/>
      <w:r>
        <w:rPr>
          <w:color w:val="343A40"/>
        </w:rPr>
        <w:lastRenderedPageBreak/>
        <w:t>Эндаумент</w:t>
      </w:r>
      <w:proofErr w:type="spellEnd"/>
      <w:r>
        <w:rPr>
          <w:color w:val="343A40"/>
        </w:rPr>
        <w:t xml:space="preserve"> - фонд целевого капитала в некоммерческих организациях, обычно в сфере образования или культуры, который формируется за счет добровольных пожертвований. В частности, в школьный фонд целевого капитала пожертвования могут приходить от благодарных выпускников школы, желающих поддержать ее развитие. Средства фонда передаются в доверительное управление управляющей компании для получения дохода, который можно использовать на финансирование уставной деятельности, например, на инновационные образовательные программы, научные исследования, стимулирование педагогов и обучающихся.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3. Ожидаемые результаты внедрения целевой модели наставничества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3.1. Планируемые результаты внедрения целевой модели наставничества: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измеримое</w:t>
      </w:r>
      <w:proofErr w:type="gramEnd"/>
      <w:r>
        <w:rPr>
          <w:color w:val="343A40"/>
        </w:rPr>
        <w:t xml:space="preserve"> улучшение показателей обучающихся в образовательной, культурной, спортивной и других сферах;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рост</w:t>
      </w:r>
      <w:proofErr w:type="gramEnd"/>
      <w:r>
        <w:rPr>
          <w:color w:val="343A40"/>
        </w:rPr>
        <w:t xml:space="preserve"> числа обучающихся, прошедших </w:t>
      </w:r>
      <w:proofErr w:type="spellStart"/>
      <w:r>
        <w:rPr>
          <w:color w:val="343A40"/>
        </w:rPr>
        <w:t>профориентационные</w:t>
      </w:r>
      <w:proofErr w:type="spellEnd"/>
      <w:r>
        <w:rPr>
          <w:color w:val="343A40"/>
        </w:rPr>
        <w:t xml:space="preserve"> мероприятия;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улучшение</w:t>
      </w:r>
      <w:proofErr w:type="gramEnd"/>
      <w:r>
        <w:rPr>
          <w:color w:val="343A40"/>
        </w:rPr>
        <w:t xml:space="preserve">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практическая</w:t>
      </w:r>
      <w:proofErr w:type="gramEnd"/>
      <w:r>
        <w:rPr>
          <w:color w:val="343A40"/>
        </w:rPr>
        <w:t xml:space="preserve"> реализация концепции построения индивидуальных образовательных траекторий;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измеримое</w:t>
      </w:r>
      <w:proofErr w:type="gramEnd"/>
      <w:r>
        <w:rPr>
          <w:color w:val="343A40"/>
        </w:rPr>
        <w:t xml:space="preserve"> улучшение личных показателей эффективности педагогов и сотрудников региональных предприятий и организаций, связанное с развитием гибких навыков и </w:t>
      </w:r>
      <w:proofErr w:type="spellStart"/>
      <w:r>
        <w:rPr>
          <w:color w:val="343A40"/>
        </w:rPr>
        <w:t>метакомпетенций</w:t>
      </w:r>
      <w:proofErr w:type="spellEnd"/>
      <w:r>
        <w:rPr>
          <w:color w:val="343A40"/>
        </w:rPr>
        <w:t>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привлечение</w:t>
      </w:r>
      <w:proofErr w:type="gramEnd"/>
      <w:r>
        <w:rPr>
          <w:color w:val="343A40"/>
        </w:rPr>
        <w:t xml:space="preserve"> дополнительных ресурсов и сторонних инвестиций в развитие инновационных образовательных и социальных программ субъекта Российской Федерации и конкретных образовательных организаций благодаря формированию устойчивых связей между образовательными организациями и бизнесом, потенциальному формированию </w:t>
      </w:r>
      <w:proofErr w:type="spellStart"/>
      <w:r>
        <w:rPr>
          <w:color w:val="343A40"/>
        </w:rPr>
        <w:t>эндаумента</w:t>
      </w:r>
      <w:proofErr w:type="spellEnd"/>
      <w:r>
        <w:rPr>
          <w:color w:val="343A40"/>
        </w:rPr>
        <w:t xml:space="preserve"> и сообщества благодарных выпускников.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3.2. Внедрение целевой модели наставничества может повлиять в том числе на решение следующих проблем обучающегося общеобразовательной организации: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низкую</w:t>
      </w:r>
      <w:proofErr w:type="gramEnd"/>
      <w:r>
        <w:rPr>
          <w:color w:val="343A40"/>
        </w:rPr>
        <w:t xml:space="preserve"> мотивацию к учебе и саморазвитию, неудовлетворительную успеваемость;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lastRenderedPageBreak/>
        <w:t>отсутствие</w:t>
      </w:r>
      <w:proofErr w:type="gramEnd"/>
      <w:r>
        <w:rPr>
          <w:color w:val="343A40"/>
        </w:rPr>
        <w:t xml:space="preserve"> осознанной позиции, необходимой для выбора образовательной траектории и будущей профессиональной реализации;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невозможность</w:t>
      </w:r>
      <w:proofErr w:type="gramEnd"/>
      <w:r>
        <w:rPr>
          <w:color w:val="343A40"/>
        </w:rPr>
        <w:t xml:space="preserve"> качественной самореализации в рамках школьной программы;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отсутствие</w:t>
      </w:r>
      <w:proofErr w:type="gramEnd"/>
      <w:r>
        <w:rPr>
          <w:color w:val="343A40"/>
        </w:rPr>
        <w:t xml:space="preserve"> условий для формирования активной гражданской позиции;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низкую</w:t>
      </w:r>
      <w:proofErr w:type="gramEnd"/>
      <w:r>
        <w:rPr>
          <w:color w:val="343A40"/>
        </w:rPr>
        <w:t xml:space="preserve"> информированность о перспективах самостоятельного выбора векторов творческого развития, карьерных и иных возможностей;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кризис</w:t>
      </w:r>
      <w:proofErr w:type="gramEnd"/>
      <w:r>
        <w:rPr>
          <w:color w:val="343A40"/>
        </w:rPr>
        <w:t xml:space="preserve"> самоидентификации, разрушение или низкий уровень </w:t>
      </w:r>
      <w:proofErr w:type="spellStart"/>
      <w:r>
        <w:rPr>
          <w:color w:val="343A40"/>
        </w:rPr>
        <w:t>сформированности</w:t>
      </w:r>
      <w:proofErr w:type="spellEnd"/>
      <w:r>
        <w:rPr>
          <w:color w:val="343A40"/>
        </w:rPr>
        <w:t xml:space="preserve"> ценностных и жизненных позиций и ориентиров;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конфликтность</w:t>
      </w:r>
      <w:proofErr w:type="gramEnd"/>
      <w:r>
        <w:rPr>
          <w:color w:val="343A40"/>
        </w:rPr>
        <w:t>, неразвитые коммуникативные навыки, затрудняющие горизонтальное и вертикальное социальное движение;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отсутствие</w:t>
      </w:r>
      <w:proofErr w:type="gramEnd"/>
      <w:r>
        <w:rPr>
          <w:color w:val="343A40"/>
        </w:rPr>
        <w:t xml:space="preserve"> условий для формирования </w:t>
      </w:r>
      <w:proofErr w:type="spellStart"/>
      <w:r>
        <w:rPr>
          <w:color w:val="343A40"/>
        </w:rPr>
        <w:t>метапредметных</w:t>
      </w:r>
      <w:proofErr w:type="spellEnd"/>
      <w:r>
        <w:rPr>
          <w:color w:val="343A40"/>
        </w:rPr>
        <w:t xml:space="preserve"> навыков и </w:t>
      </w:r>
      <w:proofErr w:type="spellStart"/>
      <w:r>
        <w:rPr>
          <w:color w:val="343A40"/>
        </w:rPr>
        <w:t>метакомпетенций</w:t>
      </w:r>
      <w:proofErr w:type="spellEnd"/>
      <w:r>
        <w:rPr>
          <w:color w:val="343A40"/>
        </w:rPr>
        <w:t>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высокий</w:t>
      </w:r>
      <w:proofErr w:type="gramEnd"/>
      <w:r>
        <w:rPr>
          <w:color w:val="343A40"/>
        </w:rPr>
        <w:t xml:space="preserve"> порог вхождения в образовательные программы, программы развития талантливых обучающихся;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падение</w:t>
      </w:r>
      <w:proofErr w:type="gramEnd"/>
      <w:r>
        <w:rPr>
          <w:color w:val="343A40"/>
        </w:rPr>
        <w:t xml:space="preserve"> эмоциональной устойчивости, психологические кризисы, связанные с общей трудностью подросткового периода на фоне отсутствия четких перспектив будущего и регулярной качественной поддержки;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проблемы</w:t>
      </w:r>
      <w:proofErr w:type="gramEnd"/>
      <w:r>
        <w:rPr>
          <w:color w:val="343A40"/>
        </w:rPr>
        <w:t xml:space="preserve"> адаптации в (новом) учебном коллективе: психологические, организационные и социальные.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3.3. Внедрение целевой модели наставничества может повлиять в том числе на решение следующих проблем обучающегося профессиональной образовательной организации (далее - студента):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низкую</w:t>
      </w:r>
      <w:proofErr w:type="gramEnd"/>
      <w:r>
        <w:rPr>
          <w:color w:val="343A40"/>
        </w:rPr>
        <w:t xml:space="preserve"> мотивацию к учебе, неудовлетворительные образовательные результаты, дисциплинарные затруднения;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низкую</w:t>
      </w:r>
      <w:proofErr w:type="gramEnd"/>
      <w:r>
        <w:rPr>
          <w:color w:val="343A40"/>
        </w:rPr>
        <w:t xml:space="preserve"> информированность о карьерных и образовательных возможностях, отсутствие осознанного выбора пути будущего профессионального развития;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трудности</w:t>
      </w:r>
      <w:proofErr w:type="gramEnd"/>
      <w:r>
        <w:rPr>
          <w:color w:val="343A40"/>
        </w:rPr>
        <w:t>, связанные с невозможностью эффективно совмещать получение образования и рабочую деятельность по специальности;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lastRenderedPageBreak/>
        <w:t>низкий</w:t>
      </w:r>
      <w:proofErr w:type="gramEnd"/>
      <w:r>
        <w:rPr>
          <w:color w:val="343A40"/>
        </w:rPr>
        <w:t xml:space="preserve"> уровень общей культуры, неразвитость </w:t>
      </w:r>
      <w:proofErr w:type="spellStart"/>
      <w:r>
        <w:rPr>
          <w:color w:val="343A40"/>
        </w:rPr>
        <w:t>метакомпетенций</w:t>
      </w:r>
      <w:proofErr w:type="spellEnd"/>
      <w:r>
        <w:rPr>
          <w:color w:val="343A40"/>
        </w:rPr>
        <w:t>, отсутствие или неразвитость навыков целеполагания, планирования и самореализации, пессимистичные ожидания от будущего и самого общества;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низкий</w:t>
      </w:r>
      <w:proofErr w:type="gramEnd"/>
      <w:r>
        <w:rPr>
          <w:color w:val="343A40"/>
        </w:rPr>
        <w:t xml:space="preserve"> уровень общепрофессиональных и профессиональных компетенций, как следствие - </w:t>
      </w:r>
      <w:proofErr w:type="spellStart"/>
      <w:r>
        <w:rPr>
          <w:color w:val="343A40"/>
        </w:rPr>
        <w:t>невостребованность</w:t>
      </w:r>
      <w:proofErr w:type="spellEnd"/>
      <w:r>
        <w:rPr>
          <w:color w:val="343A40"/>
        </w:rPr>
        <w:t xml:space="preserve"> на рынке;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отсутствие</w:t>
      </w:r>
      <w:proofErr w:type="gramEnd"/>
      <w:r>
        <w:rPr>
          <w:color w:val="343A40"/>
        </w:rPr>
        <w:t xml:space="preserve"> мотивации и возможностей для участия в программах поддержки обучающихся и выпускников;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невозможность</w:t>
      </w:r>
      <w:proofErr w:type="gramEnd"/>
      <w:r>
        <w:rPr>
          <w:color w:val="343A40"/>
        </w:rPr>
        <w:t xml:space="preserve"> реализовать свой предпринимательский или профессиональный потенциал в силу отсутствия опыта и ресурсов.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3.4. Внедрение целевой модели наставничества может повлиять в том числе на решение следующих проблем региона: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трудовую</w:t>
      </w:r>
      <w:proofErr w:type="gramEnd"/>
      <w:r>
        <w:rPr>
          <w:color w:val="343A40"/>
        </w:rPr>
        <w:t xml:space="preserve"> неустроенность молодых специалистов и выпускников, влекущую за собой падение уровня жизни, рост неблагополучия и миграцию ценных трудовых кадров в иные регионы;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ценностную</w:t>
      </w:r>
      <w:proofErr w:type="gramEnd"/>
      <w:r>
        <w:rPr>
          <w:color w:val="343A40"/>
        </w:rPr>
        <w:t xml:space="preserve"> дезориентацию обучающихся, приводящую как к </w:t>
      </w:r>
      <w:proofErr w:type="spellStart"/>
      <w:r>
        <w:rPr>
          <w:color w:val="343A40"/>
        </w:rPr>
        <w:t>девиантному</w:t>
      </w:r>
      <w:proofErr w:type="spellEnd"/>
      <w:r>
        <w:rPr>
          <w:color w:val="343A40"/>
        </w:rPr>
        <w:t>, так и к нейтральному в плане гражданской активности поведению;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отсутствие</w:t>
      </w:r>
      <w:proofErr w:type="gramEnd"/>
      <w:r>
        <w:rPr>
          <w:color w:val="343A40"/>
        </w:rPr>
        <w:t xml:space="preserve"> налаженной связи между разными уровнями образования в регионе;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устаревание</w:t>
      </w:r>
      <w:proofErr w:type="gramEnd"/>
      <w:r>
        <w:rPr>
          <w:color w:val="343A40"/>
        </w:rPr>
        <w:t xml:space="preserve"> рабочих резервов, приводящее к инерционному движению региональных предприятий, сокращению числа инициатив и инноваций, падению эффективности работы.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4. Структура управления реализацией целевой модели наставничества в деятельности образовательных организаций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4.1. В структуру управления процессом внедрения и реализации целевой модели наставничества в образовательные организации входят: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орган</w:t>
      </w:r>
      <w:proofErr w:type="gramEnd"/>
      <w:r>
        <w:rPr>
          <w:color w:val="343A40"/>
        </w:rPr>
        <w:t xml:space="preserve"> исполнительной власти субъекта Российской Федерации (или местного самоуправления), осуществляющий государственное управление в сфере образования (далее - орган власти);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 xml:space="preserve">Региональный наставнический центр - организация (структурное подразделение организации), наделенная органом власти функциями по организационному, </w:t>
      </w:r>
      <w:r>
        <w:rPr>
          <w:color w:val="343A40"/>
        </w:rPr>
        <w:lastRenderedPageBreak/>
        <w:t>методическому и аналитическому сопровождению и мониторингу программ наставничества на территории соответствующего субъекта Российской Федерации;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общеобразовательные</w:t>
      </w:r>
      <w:proofErr w:type="gramEnd"/>
      <w:r>
        <w:rPr>
          <w:color w:val="343A40"/>
        </w:rPr>
        <w:t xml:space="preserve"> организации, профессиональные образовательные организации, организации дополнительного образования, осуществляющие реализацию программ наставничества;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организации</w:t>
      </w:r>
      <w:proofErr w:type="gramEnd"/>
      <w:r>
        <w:rPr>
          <w:color w:val="343A40"/>
        </w:rPr>
        <w:t xml:space="preserve"> и индивидуальные предприниматели, осуществляющие образовательную деятельность по дополнительным общеобразовательным программам;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промышленные</w:t>
      </w:r>
      <w:proofErr w:type="gramEnd"/>
      <w:r>
        <w:rPr>
          <w:color w:val="343A40"/>
        </w:rPr>
        <w:t xml:space="preserve"> и иные предприятия, организации любой формы собственности, индивидуальные предприниматели, функционирующие на территории региона, имеющие или планирующие реализовать партнерские соглашения с организациями, осуществляющими образовательную деятельность.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 xml:space="preserve">4.2. Функции Регионального наставнического центра решением органа власти могут быть переданы уже существующей организации (подразделению организации), осуществляющей образовательную деятельность, региональному центру </w:t>
      </w:r>
      <w:proofErr w:type="spellStart"/>
      <w:r>
        <w:rPr>
          <w:color w:val="343A40"/>
        </w:rPr>
        <w:t>WorldSkills</w:t>
      </w:r>
      <w:proofErr w:type="spellEnd"/>
      <w:r>
        <w:rPr>
          <w:color w:val="343A40"/>
        </w:rPr>
        <w:t>, некоммерческой организации, организациям любой формы собственности, чья деятельность прямо связана с образовательной или воспитательной работой.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4.3. Высшее должностное лицо субъекта Российской Федерации при участии во внедрении целевой модели наставничества на территории соответствующего субъекта Российской Федерации: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принимает</w:t>
      </w:r>
      <w:proofErr w:type="gramEnd"/>
      <w:r>
        <w:rPr>
          <w:color w:val="343A40"/>
        </w:rPr>
        <w:t xml:space="preserve"> решение о внедрении целевой модели наставничества;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при</w:t>
      </w:r>
      <w:proofErr w:type="gramEnd"/>
      <w:r>
        <w:rPr>
          <w:color w:val="343A40"/>
        </w:rPr>
        <w:t xml:space="preserve"> необходимости обеспечивает организацию инфраструктуры и материально-техническое обеспечение программ наставничества.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4.4. Орган исполнительной власти субъекта Российской Федерации, осуществляющий государственное управление в сфере образования, при внедрении целевой модели наставничества на территории соответствующего субъекта Российской Федерации: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осуществляет</w:t>
      </w:r>
      <w:proofErr w:type="gramEnd"/>
      <w:r>
        <w:rPr>
          <w:color w:val="343A40"/>
        </w:rPr>
        <w:t xml:space="preserve"> координацию внедрения целевой модели наставничества;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обеспечивает</w:t>
      </w:r>
      <w:proofErr w:type="gramEnd"/>
      <w:r>
        <w:rPr>
          <w:color w:val="343A40"/>
        </w:rPr>
        <w:t xml:space="preserve"> реализацию мероприятий по внедрению целевой модели наставничества;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координирует</w:t>
      </w:r>
      <w:proofErr w:type="gramEnd"/>
      <w:r>
        <w:rPr>
          <w:color w:val="343A40"/>
        </w:rPr>
        <w:t xml:space="preserve"> работу Регионального наставнического центра;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lastRenderedPageBreak/>
        <w:t>обеспечивает</w:t>
      </w:r>
      <w:proofErr w:type="gramEnd"/>
      <w:r>
        <w:rPr>
          <w:color w:val="343A40"/>
        </w:rPr>
        <w:t xml:space="preserve"> развитие материально-технической базы, инфраструктуры и кадрового потенциала организаций, осуществляющих деятельность по реализации программ наставничества;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реализует</w:t>
      </w:r>
      <w:proofErr w:type="gramEnd"/>
      <w:r>
        <w:rPr>
          <w:color w:val="343A40"/>
        </w:rPr>
        <w:t xml:space="preserve"> меры по обеспечению доступности программ наставничества для обучающихся с особыми образовательными потребностями и индивидуальными возможностями, в том числе для обучающихся с ограниченными возможностями здоровья, обучающихся, проявивших выдающиеся способности, обучающихся, попавших в трудную жизненную ситуацию, а также обучающихся из малоимущих семей, проживающих в сельской местности и на труднодоступных и отдаленных территориях, детей-сирот (оставшихся без попечения родителей).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4.5. Задачи Регионального наставнического центра: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организационная</w:t>
      </w:r>
      <w:proofErr w:type="gramEnd"/>
      <w:r>
        <w:rPr>
          <w:color w:val="343A40"/>
        </w:rPr>
        <w:t>, методическая, экспертно-консультационная, информационная и просветительская поддержка участников внедрения целевой модели наставничества;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выработка</w:t>
      </w:r>
      <w:proofErr w:type="gramEnd"/>
      <w:r>
        <w:rPr>
          <w:color w:val="343A40"/>
        </w:rPr>
        <w:t xml:space="preserve"> предложений по совместному использованию инфраструктуры в целях внедрения целевой модели наставничества;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содействие</w:t>
      </w:r>
      <w:proofErr w:type="gramEnd"/>
      <w:r>
        <w:rPr>
          <w:color w:val="343A40"/>
        </w:rPr>
        <w:t xml:space="preserve"> распространению и внедрению лучших наставнических практик различных форм и ролевых моделей для обучающихся, педагогов и молодых специалистов соответствующего субъекта Российской Федерации, а также лучших практик других субъектов Российской Федерации;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разработка</w:t>
      </w:r>
      <w:proofErr w:type="gramEnd"/>
      <w:r>
        <w:rPr>
          <w:color w:val="343A40"/>
        </w:rPr>
        <w:t xml:space="preserve"> предложений по совершенствованию региональной системы внедрения целевой модели наставничества;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содействие</w:t>
      </w:r>
      <w:proofErr w:type="gramEnd"/>
      <w:r>
        <w:rPr>
          <w:color w:val="343A40"/>
        </w:rPr>
        <w:t xml:space="preserve"> привлечению к реализации наставнических программ образовательных организаций; предприятий и организаций региона; государственных бюджетных учреждений культуры и спорта; юридических и физических лиц, чья деятельность связана с образовательной, спортивной, культурной и досуговой деятельностью;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сбор</w:t>
      </w:r>
      <w:proofErr w:type="gramEnd"/>
      <w:r>
        <w:rPr>
          <w:color w:val="343A40"/>
        </w:rPr>
        <w:t xml:space="preserve"> результатов мониторинга реализации программ наставничества в образовательных организациях;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обеспечение</w:t>
      </w:r>
      <w:proofErr w:type="gramEnd"/>
      <w:r>
        <w:rPr>
          <w:color w:val="343A40"/>
        </w:rPr>
        <w:t xml:space="preserve"> реализации мер по дополнительному профессиональному образованию наставников и кураторов в различных форматах, в том числе с применением дистанционных образовательных технологий.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lastRenderedPageBreak/>
        <w:t>4.6. Орган исполнительной власти муниципального образования, осуществляющий управление в сфере образования, при участии во внедрении целевой модели наставничества на территории соответствующего муниципального образования: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согласовывает</w:t>
      </w:r>
      <w:proofErr w:type="gramEnd"/>
      <w:r>
        <w:rPr>
          <w:color w:val="343A40"/>
        </w:rPr>
        <w:t xml:space="preserve"> дорожные карты внедрения целевой модели наставничества, разработанные образовательными организациями, осуществляющими внедрение целевой модели;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контролирует</w:t>
      </w:r>
      <w:proofErr w:type="gramEnd"/>
      <w:r>
        <w:rPr>
          <w:color w:val="343A40"/>
        </w:rPr>
        <w:t xml:space="preserve"> реализацию мероприятий по внедрению целевой модели наставничества;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обеспечивает</w:t>
      </w:r>
      <w:proofErr w:type="gramEnd"/>
      <w:r>
        <w:rPr>
          <w:color w:val="343A40"/>
        </w:rPr>
        <w:t xml:space="preserve"> развитие инфраструктурных, материально-технических ресурсов и кадрового потенциала муниципальных организаций, осуществляющих образовательную деятельность по общеобразовательным, дополнительным общеобразовательным программам и образовательным программам среднего профессионального образования;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содействует</w:t>
      </w:r>
      <w:proofErr w:type="gramEnd"/>
      <w:r>
        <w:rPr>
          <w:color w:val="343A40"/>
        </w:rPr>
        <w:t xml:space="preserve"> привлечению к реализации программ наставничества образовательных организаций; предприятий и организаций региона; государственных бюджетных учреждений культуры и спорта; юридических и физических лиц, чья деятельность связана с образовательной, спортивной, культурной и досуговой деятельностью.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4.7. Функции образовательных организаций, осуществляющих внедрение целевой модели наставничества: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разработка</w:t>
      </w:r>
      <w:proofErr w:type="gramEnd"/>
      <w:r>
        <w:rPr>
          <w:color w:val="343A40"/>
        </w:rPr>
        <w:t xml:space="preserve"> и реализация мероприятий дорожной карты внедрения целевой модели;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реализация</w:t>
      </w:r>
      <w:proofErr w:type="gramEnd"/>
      <w:r>
        <w:rPr>
          <w:color w:val="343A40"/>
        </w:rPr>
        <w:t xml:space="preserve"> программ наставничества;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реализация</w:t>
      </w:r>
      <w:proofErr w:type="gramEnd"/>
      <w:r>
        <w:rPr>
          <w:color w:val="343A40"/>
        </w:rPr>
        <w:t xml:space="preserve"> кадровой политики, в том числе: привлечение, обучение и контроль за деятельностью наставников, принимающих участие в программе наставничества;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назначение</w:t>
      </w:r>
      <w:proofErr w:type="gramEnd"/>
      <w:r>
        <w:rPr>
          <w:color w:val="343A40"/>
        </w:rPr>
        <w:t xml:space="preserve"> куратора внедрения целевой модели наставничества в образовательной организации;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инфраструктурное</w:t>
      </w:r>
      <w:proofErr w:type="gramEnd"/>
      <w:r>
        <w:rPr>
          <w:color w:val="343A40"/>
        </w:rPr>
        <w:t xml:space="preserve"> и материально-техническое обеспечение реализации программ наставничества;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осуществление</w:t>
      </w:r>
      <w:proofErr w:type="gramEnd"/>
      <w:r>
        <w:rPr>
          <w:color w:val="343A40"/>
        </w:rPr>
        <w:t xml:space="preserve"> персонифицированного учета обучающихся, молодых специалистов и педагогов, участвующих в программах наставничества;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lastRenderedPageBreak/>
        <w:t>внесение</w:t>
      </w:r>
      <w:proofErr w:type="gramEnd"/>
      <w:r>
        <w:rPr>
          <w:color w:val="343A40"/>
        </w:rPr>
        <w:t xml:space="preserve"> в формы федерального статистического наблюдения данных о количестве участников программ наставничества и предоставление этих форм в Министерство просвещения Российской Федерации;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проведение</w:t>
      </w:r>
      <w:proofErr w:type="gramEnd"/>
      <w:r>
        <w:rPr>
          <w:color w:val="343A40"/>
        </w:rPr>
        <w:t xml:space="preserve"> внутреннего мониторинга реализации и эффективности программ наставничества (в ведении образовательных организаций);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обеспечение</w:t>
      </w:r>
      <w:proofErr w:type="gramEnd"/>
      <w:r>
        <w:rPr>
          <w:color w:val="343A40"/>
        </w:rPr>
        <w:t xml:space="preserve"> формирования баз данных программ наставничества и лучших практик;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обеспечение</w:t>
      </w:r>
      <w:proofErr w:type="gramEnd"/>
      <w:r>
        <w:rPr>
          <w:color w:val="343A40"/>
        </w:rPr>
        <w:t xml:space="preserve">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4.8. Куратор назначается решением руководителя образовательной организации, планирующей внедрить целевую модель наставничества. Куратором может стать представитель образовательной организации, представитель организации - партнера программы, представитель региональной некоммерческой организации, организации любой формы собственности, чья деятельность связана с реализацией программ наставничества, волонтерской деятельностью, образованием и воспитанием обучающихся.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К зоне ответственности куратора относятся следующие задачи: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сбор</w:t>
      </w:r>
      <w:proofErr w:type="gramEnd"/>
      <w:r>
        <w:rPr>
          <w:color w:val="343A40"/>
        </w:rPr>
        <w:t xml:space="preserve"> и работа с базой наставников и наставляемых;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организация</w:t>
      </w:r>
      <w:proofErr w:type="gramEnd"/>
      <w:r>
        <w:rPr>
          <w:color w:val="343A40"/>
        </w:rPr>
        <w:t xml:space="preserve"> обучения наставников (в том числе привлечение экспертов для проведения обучения);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контроль</w:t>
      </w:r>
      <w:proofErr w:type="gramEnd"/>
      <w:r>
        <w:rPr>
          <w:color w:val="343A40"/>
        </w:rPr>
        <w:t xml:space="preserve"> процедуры внедрения целевой модели наставничества;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контроль</w:t>
      </w:r>
      <w:proofErr w:type="gramEnd"/>
      <w:r>
        <w:rPr>
          <w:color w:val="343A40"/>
        </w:rPr>
        <w:t xml:space="preserve"> проведения программ наставничества;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участие</w:t>
      </w:r>
      <w:proofErr w:type="gramEnd"/>
      <w:r>
        <w:rPr>
          <w:color w:val="343A40"/>
        </w:rPr>
        <w:t xml:space="preserve"> в оценке вовлеченности обучающихся в различные формы наставничества;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решение</w:t>
      </w:r>
      <w:proofErr w:type="gramEnd"/>
      <w:r>
        <w:rPr>
          <w:color w:val="343A40"/>
        </w:rPr>
        <w:t xml:space="preserve"> организационных вопросов, возникающих в процессе реализации модели;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мониторинг</w:t>
      </w:r>
      <w:proofErr w:type="gramEnd"/>
      <w:r>
        <w:rPr>
          <w:color w:val="343A40"/>
        </w:rPr>
        <w:t xml:space="preserve"> реализации и получение обратной связи от участников программы и иных причастных к программе лиц.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 xml:space="preserve">При создании условий необходимого финансирования куратора программ наставничества могут быть использованы ресурсы образовательных организаций региона, ресурсы партнеров программы, предприятий - участников программы, региональных </w:t>
      </w:r>
      <w:r>
        <w:rPr>
          <w:color w:val="343A40"/>
        </w:rPr>
        <w:lastRenderedPageBreak/>
        <w:t>некоммерческих организаций, коммерческих организаций, осуществляющих реализацию программ корпоративной социальной ответственности, и индивидуальных предпринимателей - филантропов.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4.9. Оценка вовлеченности обучающихся в различные формы наставничества.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Сбор первичных данных для проведения оценки вовлеченности обучающихся в различные формы сопровождения и наставничества через персонифицированный учет участников программ наставничества в образовательной организации осуществляет куратор.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Для оценки вовлеченности участие в программе наставничества понимается как прохождение участником полного цикла программы наставничества. Соответствующая отметка проставляется куратором в базе наставляемых (примерная форма базы наставляемых представлена в Приложении).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В срок не позднее 20 января года, следующего за отчетным, куратор вносит информацию о количестве участников программ наставничества в соответствующую форму федерального статистического наблюдения и направляет данную форму в Министерство просвещения Российской Федерации.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Министерство просвещения Российской Федерации на основании полученных данных проводит оценку доли обучающихся, вовлеченных в различные формы сопровождения и наставничества (отношение общего количества участников программ наставничества к общему числу обучающихся).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4.10. Комплект примерных нормативных документов, необходимых для внедрения целевой модели наставничества в субъектах Российской Федерации.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Процесс реализации целевой модели наставничества предполагает разработку ряда документов и издание ряда распорядительных актов.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4.10.1. Распорядительный акт органа исполнительной власти субъекта Российской Федерации, осуществляющего государственное управление в сфере образования, включающий: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основания</w:t>
      </w:r>
      <w:proofErr w:type="gramEnd"/>
      <w:r>
        <w:rPr>
          <w:color w:val="343A40"/>
        </w:rPr>
        <w:t xml:space="preserve"> для внедрения целевой модели наставничества в субъекте Российской Федерации;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сроки</w:t>
      </w:r>
      <w:proofErr w:type="gramEnd"/>
      <w:r>
        <w:rPr>
          <w:color w:val="343A40"/>
        </w:rPr>
        <w:t xml:space="preserve"> внедрения целевой модели наставничества в субъекте Российской Федерации;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lastRenderedPageBreak/>
        <w:t>сроки</w:t>
      </w:r>
      <w:proofErr w:type="gramEnd"/>
      <w:r>
        <w:rPr>
          <w:color w:val="343A40"/>
        </w:rPr>
        <w:t xml:space="preserve"> проведения мониторинга эффективности программ наставничества в субъекте Российской Федерации;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назначение</w:t>
      </w:r>
      <w:proofErr w:type="gramEnd"/>
      <w:r>
        <w:rPr>
          <w:color w:val="343A40"/>
        </w:rPr>
        <w:t xml:space="preserve"> ответственного должностного лица за внедрение целевой модели наставничества в субъекте Российской Федерации;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перечень</w:t>
      </w:r>
      <w:proofErr w:type="gramEnd"/>
      <w:r>
        <w:rPr>
          <w:color w:val="343A40"/>
        </w:rPr>
        <w:t xml:space="preserve"> образовательных организаций, внедряющих целевую модель наставничества в субъекте Российской Федерации (Приложение);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планируемые</w:t>
      </w:r>
      <w:proofErr w:type="gramEnd"/>
      <w:r>
        <w:rPr>
          <w:color w:val="343A40"/>
        </w:rPr>
        <w:t xml:space="preserve"> результаты внедрения целевой модели наставничества в субъекте Российской Федерации (Приложение).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4.10.2. Распорядительный акт образовательной организации о внедрении целевой модели наставничества на уровне организации, включающий: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основания</w:t>
      </w:r>
      <w:proofErr w:type="gramEnd"/>
      <w:r>
        <w:rPr>
          <w:color w:val="343A40"/>
        </w:rPr>
        <w:t xml:space="preserve"> для внедрения целевой модели наставничества в образовательной организации;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сроки</w:t>
      </w:r>
      <w:proofErr w:type="gramEnd"/>
      <w:r>
        <w:rPr>
          <w:color w:val="343A40"/>
        </w:rPr>
        <w:t xml:space="preserve"> внедрения целевой модели наставничества в образовательной организации;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назначение</w:t>
      </w:r>
      <w:proofErr w:type="gramEnd"/>
      <w:r>
        <w:rPr>
          <w:color w:val="343A40"/>
        </w:rPr>
        <w:t xml:space="preserve"> ответственных за внедрение и реализацию целевой модели наставничества в образовательной организации с описанием обязанностей;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назначение</w:t>
      </w:r>
      <w:proofErr w:type="gramEnd"/>
      <w:r>
        <w:rPr>
          <w:color w:val="343A40"/>
        </w:rPr>
        <w:t xml:space="preserve"> ответственных за материально-техническое обеспечение программы наставничества в организации;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сроки</w:t>
      </w:r>
      <w:proofErr w:type="gramEnd"/>
      <w:r>
        <w:rPr>
          <w:color w:val="343A40"/>
        </w:rPr>
        <w:t xml:space="preserve"> проведения мониторинга эффективности программ наставничества;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планируемые</w:t>
      </w:r>
      <w:proofErr w:type="gramEnd"/>
      <w:r>
        <w:rPr>
          <w:color w:val="343A40"/>
        </w:rPr>
        <w:t xml:space="preserve"> результаты внедрения целевой модели наставничества в образовательной организации (Приложение);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утверждение</w:t>
      </w:r>
      <w:proofErr w:type="gramEnd"/>
      <w:r>
        <w:rPr>
          <w:color w:val="343A40"/>
        </w:rPr>
        <w:t xml:space="preserve"> положения о программе наставничества в образовательной организации (Приложение);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утверждение</w:t>
      </w:r>
      <w:proofErr w:type="gramEnd"/>
      <w:r>
        <w:rPr>
          <w:color w:val="343A40"/>
        </w:rPr>
        <w:t xml:space="preserve"> дорожной карты внедрения целевой модели наставничества (Приложение).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4.10.3. Положение о программе наставничества в образовательной организации является организационной основой для внедрения целевой модели наставничества, определяет формы программы наставничества, зоны ответственности, права и обязанности участников, а также функции субъектов программы наставничества.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Типовое положение о программе наставничества может включать в себя: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lastRenderedPageBreak/>
        <w:t>описание</w:t>
      </w:r>
      <w:proofErr w:type="gramEnd"/>
      <w:r>
        <w:rPr>
          <w:color w:val="343A40"/>
        </w:rPr>
        <w:t xml:space="preserve"> форм программ наставничества;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права</w:t>
      </w:r>
      <w:proofErr w:type="gramEnd"/>
      <w:r>
        <w:rPr>
          <w:color w:val="343A40"/>
        </w:rPr>
        <w:t>, обязанности и задачи наставников, наставляемых, кураторов и законных представителей наставляемых в случае, если участник программы несовершеннолетний;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требования</w:t>
      </w:r>
      <w:proofErr w:type="gramEnd"/>
      <w:r>
        <w:rPr>
          <w:color w:val="343A40"/>
        </w:rPr>
        <w:t>, выдвигаемые к наставникам, изъявляющим желание принять участие в программе;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процедуры</w:t>
      </w:r>
      <w:proofErr w:type="gramEnd"/>
      <w:r>
        <w:rPr>
          <w:color w:val="343A40"/>
        </w:rPr>
        <w:t xml:space="preserve"> отбора и обучения наставников;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процесс</w:t>
      </w:r>
      <w:proofErr w:type="gramEnd"/>
      <w:r>
        <w:rPr>
          <w:color w:val="343A40"/>
        </w:rPr>
        <w:t xml:space="preserve"> формирования пар и групп из наставника и наставляемого (наставляемых);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процесс</w:t>
      </w:r>
      <w:proofErr w:type="gramEnd"/>
      <w:r>
        <w:rPr>
          <w:color w:val="343A40"/>
        </w:rPr>
        <w:t xml:space="preserve"> закрепления наставнических пар;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формы</w:t>
      </w:r>
      <w:proofErr w:type="gramEnd"/>
      <w:r>
        <w:rPr>
          <w:color w:val="343A40"/>
        </w:rPr>
        <w:t xml:space="preserve"> и сроки отчетности наставника и куратора о процессе реализации программы наставничества;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формы</w:t>
      </w:r>
      <w:proofErr w:type="gramEnd"/>
      <w:r>
        <w:rPr>
          <w:color w:val="343A40"/>
        </w:rPr>
        <w:t xml:space="preserve"> и условия поощрения наставника;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критерии</w:t>
      </w:r>
      <w:proofErr w:type="gramEnd"/>
      <w:r>
        <w:rPr>
          <w:color w:val="343A40"/>
        </w:rPr>
        <w:t xml:space="preserve"> эффективности работы наставника;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условия</w:t>
      </w:r>
      <w:proofErr w:type="gramEnd"/>
      <w:r>
        <w:rPr>
          <w:color w:val="343A40"/>
        </w:rPr>
        <w:t xml:space="preserve"> публикации результатов программы наставничества на сайте образовательной организации и организаций-партнеров;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форма</w:t>
      </w:r>
      <w:proofErr w:type="gramEnd"/>
      <w:r>
        <w:rPr>
          <w:color w:val="343A40"/>
        </w:rPr>
        <w:t xml:space="preserve"> соглашения между наставником и наставляемым, а также законными представителями наставляемого в случае, если участник программы несовершеннолетний;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формы</w:t>
      </w:r>
      <w:proofErr w:type="gramEnd"/>
      <w:r>
        <w:rPr>
          <w:color w:val="343A40"/>
        </w:rPr>
        <w:t xml:space="preserve"> согласий на обработку персональных данных от участников наставнической программы или их законных представителей в случае, если участники несовершеннолетние.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4.10.4. Дорожная карта внедрения целевой модели наставничества включает в себя следующую информацию (примерная форма дорожной карты представлена в Приложении):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сроки</w:t>
      </w:r>
      <w:proofErr w:type="gramEnd"/>
      <w:r>
        <w:rPr>
          <w:color w:val="343A40"/>
        </w:rPr>
        <w:t xml:space="preserve"> реализации этапов программ наставничества;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мероприятия</w:t>
      </w:r>
      <w:proofErr w:type="gramEnd"/>
      <w:r>
        <w:rPr>
          <w:color w:val="343A40"/>
        </w:rPr>
        <w:t xml:space="preserve"> по информированию педагогического и родительского сообществ о проводимых мероприятиях по реализации программ наставничества;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мероприятия</w:t>
      </w:r>
      <w:proofErr w:type="gramEnd"/>
      <w:r>
        <w:rPr>
          <w:color w:val="343A40"/>
        </w:rPr>
        <w:t xml:space="preserve"> по привлечению наставников к реализации программ наставничества.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lastRenderedPageBreak/>
        <w:t>5. Механизмы мотивации и поощрения наставников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5.1. К числу лучших мотивирующих наставника факторов можно отнести поддержку системы наставничества на общественном, муниципальном и 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 роль.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Важно популяризировать роль наставника среди образовательных и общественных организаций; сообществ выпускников школ, профессиональных образовательных организаций, образовательных организаций высшего образования, детских домов; компаний-партнеров; ассоциаций психологов и психотерапевтов; волонтерских и благотворительных организаций; социальных сетей и т.п.; рассказывать о преимуществах роли наставника: возможностях личностного и социального роста, получения новых знаний и навыков.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5.2. В целях популяризации роли наставника можно рекомендовать следующие меры: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организацию</w:t>
      </w:r>
      <w:proofErr w:type="gramEnd"/>
      <w:r>
        <w:rPr>
          <w:color w:val="343A40"/>
        </w:rPr>
        <w:t xml:space="preserve"> и проведение фестивалей, форумов, конференций наставников на муниципальном, региональном и федеральном уровнях;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проведение</w:t>
      </w:r>
      <w:proofErr w:type="gramEnd"/>
      <w:r>
        <w:rPr>
          <w:color w:val="343A40"/>
        </w:rPr>
        <w:t xml:space="preserve"> конкурсов профессионального мастерства "Наставник года", "Лучшая пара "Наставник+" и т.д.;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поддержку</w:t>
      </w:r>
      <w:proofErr w:type="gramEnd"/>
      <w:r>
        <w:rPr>
          <w:color w:val="343A40"/>
        </w:rPr>
        <w:t xml:space="preserve"> системы наставничества через СМИ, создание специальной рубрики в социальных сетях или интернет-издании, например, "Наши наставники": истории о внедрении программы наставничества, о ее результатах, успешные истории взаимодействия наставника и наставляемого; интервью с известными людьми о том, кто был их наставником, почему это важно для них и т.д.);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участие</w:t>
      </w:r>
      <w:proofErr w:type="gramEnd"/>
      <w:r>
        <w:rPr>
          <w:color w:val="343A40"/>
        </w:rPr>
        <w:t xml:space="preserve"> руководителей всех уровней в программах наставничества;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организацию</w:t>
      </w:r>
      <w:proofErr w:type="gramEnd"/>
      <w:r>
        <w:rPr>
          <w:color w:val="343A40"/>
        </w:rPr>
        <w:t xml:space="preserve"> сообществ для наставников с возможностью быстрого оповещения о новых интересных проектах, мероприятиях, разработках и т.д.;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проведение</w:t>
      </w:r>
      <w:proofErr w:type="gramEnd"/>
      <w:r>
        <w:rPr>
          <w:color w:val="343A40"/>
        </w:rPr>
        <w:t xml:space="preserve"> фотосессий с выпуском открыток, плакатов, календарей, постеров "Наши наставники", которые распространяются среди образовательных организаций, компаний, учреждений социальной сферы и т.д.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lastRenderedPageBreak/>
        <w:t>Общественное признание позволяет наставникам ощутить собственную востребованность, значимость и полезность не только для отдельно взятых людей, но для общества, региона, в котором они живут. Публичное признание значимости работы наставников для образовательной организации, компании, региона в целом, повышение их авторитета в коллективе будет способствовать расширению пула наставников.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5.3. Возможные нематериальные (моральные) формы поощрений наставников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Поощрение наставников по результатам участия в ежегодном конкурсе (премии) на лучшего наставника муниципалитета (региона). Кандидатуры претендентов предоставляются образовательными организациями в органы управления образованием. Порядок выбора лучшего наставника из числа представленных кандидатур утверждается приказом органа управления образованием субъекта Российской Федерации; наставник, признанный лучшим, может быть награжден (удостоен):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почетной</w:t>
      </w:r>
      <w:proofErr w:type="gramEnd"/>
      <w:r>
        <w:rPr>
          <w:color w:val="343A40"/>
        </w:rPr>
        <w:t xml:space="preserve"> грамотой;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почетного</w:t>
      </w:r>
      <w:proofErr w:type="gramEnd"/>
      <w:r>
        <w:rPr>
          <w:color w:val="343A40"/>
        </w:rPr>
        <w:t xml:space="preserve"> звания "Лучший наставник";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нагрудным</w:t>
      </w:r>
      <w:proofErr w:type="gramEnd"/>
      <w:r>
        <w:rPr>
          <w:color w:val="343A40"/>
        </w:rPr>
        <w:t xml:space="preserve"> знаком наставника;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иные</w:t>
      </w:r>
      <w:proofErr w:type="gramEnd"/>
      <w:r>
        <w:rPr>
          <w:color w:val="343A40"/>
        </w:rPr>
        <w:t>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Также могут применятся в целях поощрения: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благодарственные</w:t>
      </w:r>
      <w:proofErr w:type="gramEnd"/>
      <w:r>
        <w:rPr>
          <w:color w:val="343A40"/>
        </w:rPr>
        <w:t xml:space="preserve"> письма родителям наставников из числа обучающихся;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размещение</w:t>
      </w:r>
      <w:proofErr w:type="gramEnd"/>
      <w:r>
        <w:rPr>
          <w:color w:val="343A40"/>
        </w:rPr>
        <w:t xml:space="preserve"> фотографий лучших наставников на Доске почета образовательной организации, организации (предприятия), предоставляющих наставника для участия в программе;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предоставление</w:t>
      </w:r>
      <w:proofErr w:type="gramEnd"/>
      <w:r>
        <w:rPr>
          <w:color w:val="343A40"/>
        </w:rPr>
        <w:t xml:space="preserve"> наставникам возможности принимать участие в формировании предложений, касающихся развития организации; рекомендации при трудоустройстве;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образовательное</w:t>
      </w:r>
      <w:proofErr w:type="gramEnd"/>
      <w:r>
        <w:rPr>
          <w:color w:val="343A40"/>
        </w:rPr>
        <w:t xml:space="preserve"> стимулирование (привлечение к участию в образовательных программах, семинарах, тренингах и иных мероприятиях подобного рода);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нематериальное</w:t>
      </w:r>
      <w:proofErr w:type="gramEnd"/>
      <w:r>
        <w:rPr>
          <w:color w:val="343A40"/>
        </w:rPr>
        <w:t xml:space="preserve"> поощрение на рабочем месте: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получение</w:t>
      </w:r>
      <w:proofErr w:type="gramEnd"/>
      <w:r>
        <w:rPr>
          <w:color w:val="343A40"/>
        </w:rPr>
        <w:t xml:space="preserve"> дополнительных дней к отпуску;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lastRenderedPageBreak/>
        <w:t>расширенная</w:t>
      </w:r>
      <w:proofErr w:type="gramEnd"/>
      <w:r>
        <w:rPr>
          <w:color w:val="343A40"/>
        </w:rPr>
        <w:t xml:space="preserve"> медицинская страховка;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иные</w:t>
      </w:r>
      <w:proofErr w:type="gramEnd"/>
      <w:r>
        <w:rPr>
          <w:color w:val="343A40"/>
        </w:rPr>
        <w:t xml:space="preserve"> льготы и преимущества, предусмотренные в организации, в которой работает наставник.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5.4. Создание системы нематериальной мотивации в виде иерархии наставников может повысить лояльность участников и являться дополнительной мотивацией как формат общественного признания и поощрения.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Основными элементами иерархической системы являются: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достижения</w:t>
      </w:r>
      <w:proofErr w:type="gramEnd"/>
      <w:r>
        <w:rPr>
          <w:color w:val="343A40"/>
        </w:rPr>
        <w:t>: визуальное (материальное) выражение результата (медаль, поощрение, определенные очки). Достижения и награды рассматриваются наставником как признаки его заслуг, социального положения, символ причастности и большому проекту;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глобальное</w:t>
      </w:r>
      <w:proofErr w:type="gramEnd"/>
      <w:r>
        <w:rPr>
          <w:color w:val="343A40"/>
        </w:rPr>
        <w:t xml:space="preserve"> значение: мотивацию наставников увеличивает вера в успех программы наставничества, в создание новой и масштабной системы;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рейтинги</w:t>
      </w:r>
      <w:proofErr w:type="gramEnd"/>
      <w:r>
        <w:rPr>
          <w:color w:val="343A40"/>
        </w:rPr>
        <w:t xml:space="preserve"> и иерархия (персональная и групповая). Персональные рейтинги наставников публикуются для того, чтобы каждый участник программы мог видеть свой и чужие текущие уровни развития. Групповые рейтинги команд (наставник и наставляемый или наставник и группа наставляемых) публикуются на стендах образовательной организации, ее информационных порталах, на информационных порталах муниципальных методических центров по наставничеству для дополнительной мотивации всех участников программ.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5.5. В организации также могут быть предусмотрены различные виды материальных поощрений наставников, в том числе надбавка к заработной плате. В данном случае соответствующие изменения вносятся во внутренние документы организации, регламентирующие порядок оплаты труда и материального поощрения работников.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6. Мониторинг и оценка результатов реализации программы наставничества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6.1. 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 xml:space="preserve"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</w:t>
      </w:r>
      <w:r>
        <w:rPr>
          <w:color w:val="343A40"/>
        </w:rPr>
        <w:lastRenderedPageBreak/>
        <w:t>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Мониторинг программы наставничества состоит из двух основных этапов: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1) оценка качества процесса реализации программы наставничества;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 xml:space="preserve">2) оценка мотивационно-личностного, </w:t>
      </w:r>
      <w:proofErr w:type="spellStart"/>
      <w:r>
        <w:rPr>
          <w:color w:val="343A40"/>
        </w:rPr>
        <w:t>компетентностного</w:t>
      </w:r>
      <w:proofErr w:type="spellEnd"/>
      <w:r>
        <w:rPr>
          <w:color w:val="343A40"/>
        </w:rPr>
        <w:t>, профессионального роста участников, динамика образовательных результатов.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6.2. Этап 1. Мониторинг и оценка качества процесса реализации программы наставничества.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 - наставляемый". Мониторинг помогает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Мониторинг процесса реализации программ наставничества направлен на две ключевые цели: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1) оценка качества реализуемой программы наставничества;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2) 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Среди задач, решаемых с помощью мониторинга, можно выделить сбор и анализ обратной связи от участников и кураторов (метод анкетирования), обоснование требований к процессу реализации программы наставничества, к личности наставника; контроль хода программы наставничества; описание особенностей взаимодействия наставника и наставляемого (группы наставляемых); определение условий эффективной программы наставничества; контроль показателей социального и профессионального благополучия; анализ динамики качественных и количественных изменений отслеживаемых показателей.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lastRenderedPageBreak/>
        <w:t>По результатам опроса в рамках первого этапа мониторинга будет предоставлен SWOT-анализ (таблица 1) реализуемой программы наставничества.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Таблица 1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Факторы SWOT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Позитивные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Негативные</w:t>
      </w:r>
    </w:p>
    <w:p w:rsidR="00FD0E8E" w:rsidRDefault="00FD0E8E" w:rsidP="00FD0E8E">
      <w:pPr>
        <w:pStyle w:val="al"/>
        <w:shd w:val="clear" w:color="auto" w:fill="F8F9FA"/>
        <w:spacing w:line="390" w:lineRule="atLeast"/>
        <w:rPr>
          <w:color w:val="343A40"/>
        </w:rPr>
      </w:pPr>
      <w:r>
        <w:rPr>
          <w:color w:val="343A40"/>
        </w:rPr>
        <w:t>Внутренние</w:t>
      </w:r>
    </w:p>
    <w:p w:rsidR="00FD0E8E" w:rsidRDefault="00FD0E8E" w:rsidP="00FD0E8E">
      <w:pPr>
        <w:pStyle w:val="al"/>
        <w:shd w:val="clear" w:color="auto" w:fill="F8F9FA"/>
        <w:spacing w:line="390" w:lineRule="atLeast"/>
        <w:rPr>
          <w:color w:val="343A40"/>
        </w:rPr>
      </w:pPr>
      <w:r>
        <w:rPr>
          <w:color w:val="343A40"/>
        </w:rPr>
        <w:t>Сильные стороны</w:t>
      </w:r>
    </w:p>
    <w:p w:rsidR="00FD0E8E" w:rsidRDefault="00FD0E8E" w:rsidP="00FD0E8E">
      <w:pPr>
        <w:pStyle w:val="al"/>
        <w:shd w:val="clear" w:color="auto" w:fill="F8F9FA"/>
        <w:spacing w:line="390" w:lineRule="atLeast"/>
        <w:rPr>
          <w:color w:val="343A40"/>
        </w:rPr>
      </w:pPr>
      <w:r>
        <w:rPr>
          <w:color w:val="343A40"/>
        </w:rPr>
        <w:t>Слабые стороны</w:t>
      </w:r>
    </w:p>
    <w:p w:rsidR="00FD0E8E" w:rsidRDefault="00FD0E8E" w:rsidP="00FD0E8E">
      <w:pPr>
        <w:pStyle w:val="al"/>
        <w:shd w:val="clear" w:color="auto" w:fill="F8F9FA"/>
        <w:spacing w:line="390" w:lineRule="atLeast"/>
        <w:rPr>
          <w:color w:val="343A40"/>
        </w:rPr>
      </w:pPr>
      <w:r>
        <w:rPr>
          <w:color w:val="343A40"/>
        </w:rPr>
        <w:t>Внешние</w:t>
      </w:r>
    </w:p>
    <w:p w:rsidR="00FD0E8E" w:rsidRDefault="00FD0E8E" w:rsidP="00FD0E8E">
      <w:pPr>
        <w:pStyle w:val="al"/>
        <w:shd w:val="clear" w:color="auto" w:fill="F8F9FA"/>
        <w:spacing w:line="390" w:lineRule="atLeast"/>
        <w:rPr>
          <w:color w:val="343A40"/>
        </w:rPr>
      </w:pPr>
      <w:r>
        <w:rPr>
          <w:color w:val="343A40"/>
        </w:rPr>
        <w:t>Возможности</w:t>
      </w:r>
    </w:p>
    <w:p w:rsidR="00FD0E8E" w:rsidRDefault="00FD0E8E" w:rsidP="00FD0E8E">
      <w:pPr>
        <w:pStyle w:val="al"/>
        <w:shd w:val="clear" w:color="auto" w:fill="F8F9FA"/>
        <w:spacing w:line="390" w:lineRule="atLeast"/>
        <w:rPr>
          <w:color w:val="343A40"/>
        </w:rPr>
      </w:pPr>
      <w:r>
        <w:rPr>
          <w:color w:val="343A40"/>
        </w:rPr>
        <w:t>Угрозы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Сбор данных для построения SWOT-анализа осуществляется посредством анкеты (Раздел 2.3 Приложения 2 к методическим рекомендациям ведомственного проектного офиса по внедрению целевой модели наставничества). Анкета содержит открытые вопросы, закрытые вопросы, вопросы с оценочным параметром. Анкета учитывает особенности требований ко всем пяти формам наставничества и является уникальной для каждой формы.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SWOT-анализ рекомендуется проводить куратору программы.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Для оценки соответствия условий организации программы наставничества требованиям модели и программ, по которым она осуществляется, принципам, заложенным в модели и программах, а также современным подходам и технологиям, используется анкета куратора (Раздел 2.4 Приложения 2 к методическим рекомендациям ведомственного проектного офиса по внедрению целевой модели наставничества).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 xml:space="preserve">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</w:t>
      </w:r>
      <w:r>
        <w:rPr>
          <w:color w:val="343A40"/>
        </w:rPr>
        <w:lastRenderedPageBreak/>
        <w:t>благополучия, расхождения между ожиданиями и реальными результатами участников программы наставничества.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Среди оцениваемых параметров: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сильные</w:t>
      </w:r>
      <w:proofErr w:type="gramEnd"/>
      <w:r>
        <w:rPr>
          <w:color w:val="343A40"/>
        </w:rPr>
        <w:t xml:space="preserve"> и слабые стороны программы наставничества;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возможности</w:t>
      </w:r>
      <w:proofErr w:type="gramEnd"/>
      <w:r>
        <w:rPr>
          <w:color w:val="343A40"/>
        </w:rPr>
        <w:t xml:space="preserve"> программы наставничества и угрозы ее реализации;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процент</w:t>
      </w:r>
      <w:proofErr w:type="gramEnd"/>
      <w:r>
        <w:rPr>
          <w:color w:val="343A40"/>
        </w:rPr>
        <w:t xml:space="preserve"> посещения обучающимися творческих кружков, спортивных секций и внеурочных объединений;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процент</w:t>
      </w:r>
      <w:proofErr w:type="gramEnd"/>
      <w:r>
        <w:rPr>
          <w:color w:val="343A40"/>
        </w:rPr>
        <w:t xml:space="preserve"> реализации образовательных и культурных проектов на базе образовательного учреждения и совместно с представителем организаций (предприятий) наставника;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процент</w:t>
      </w:r>
      <w:proofErr w:type="gramEnd"/>
      <w:r>
        <w:rPr>
          <w:color w:val="343A40"/>
        </w:rPr>
        <w:t xml:space="preserve"> обучающихся, прошедших профессиональные и </w:t>
      </w:r>
      <w:proofErr w:type="spellStart"/>
      <w:r>
        <w:rPr>
          <w:color w:val="343A40"/>
        </w:rPr>
        <w:t>компетентностные</w:t>
      </w:r>
      <w:proofErr w:type="spellEnd"/>
      <w:r>
        <w:rPr>
          <w:color w:val="343A40"/>
        </w:rPr>
        <w:t xml:space="preserve"> тесты;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количество</w:t>
      </w:r>
      <w:proofErr w:type="gramEnd"/>
      <w:r>
        <w:rPr>
          <w:color w:val="343A40"/>
        </w:rPr>
        <w:t xml:space="preserve"> выпускников средней школы или профессиональной образовательной организации, планирующих трудоустройство или уже трудоустроенных на предприятия в субъекте Российской Федерации;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количество</w:t>
      </w:r>
      <w:proofErr w:type="gramEnd"/>
      <w:r>
        <w:rPr>
          <w:color w:val="343A40"/>
        </w:rPr>
        <w:t xml:space="preserve"> обучающихся, планирующих стать наставниками в будущем и/или присоединиться к сообществу благодарных выпускников;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число</w:t>
      </w:r>
      <w:proofErr w:type="gramEnd"/>
      <w:r>
        <w:rPr>
          <w:color w:val="343A40"/>
        </w:rPr>
        <w:t xml:space="preserve"> обучающихся из числа студентов, поступающих на охваченные программой наставничества профессии и специальности среднего профессионального образования;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количество</w:t>
      </w:r>
      <w:proofErr w:type="gramEnd"/>
      <w:r>
        <w:rPr>
          <w:color w:val="343A40"/>
        </w:rPr>
        <w:t xml:space="preserve"> собственных профессиональных работ: статей, исследований, методических практик молодого специалиста, выступавшего в роли наставляемого.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6.3. Этап 2. Мониторинг и оценка влияния программ на всех участников.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Второй этап мониторинга позволяет оценить: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мотивационно</w:t>
      </w:r>
      <w:proofErr w:type="gramEnd"/>
      <w:r>
        <w:rPr>
          <w:color w:val="343A40"/>
        </w:rPr>
        <w:t>-личностный и профессиональный рост участников программы наставничества;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развитие</w:t>
      </w:r>
      <w:proofErr w:type="gramEnd"/>
      <w:r>
        <w:rPr>
          <w:color w:val="343A40"/>
        </w:rPr>
        <w:t xml:space="preserve"> </w:t>
      </w:r>
      <w:proofErr w:type="spellStart"/>
      <w:r>
        <w:rPr>
          <w:color w:val="343A40"/>
        </w:rPr>
        <w:t>метапредметных</w:t>
      </w:r>
      <w:proofErr w:type="spellEnd"/>
      <w:r>
        <w:rPr>
          <w:color w:val="343A40"/>
        </w:rPr>
        <w:t xml:space="preserve"> навыков и уровня вовлеченности обучающихся в образовательную деятельность;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качество</w:t>
      </w:r>
      <w:proofErr w:type="gramEnd"/>
      <w:r>
        <w:rPr>
          <w:color w:val="343A40"/>
        </w:rPr>
        <w:t xml:space="preserve"> изменений в освоении обучающимися образовательных программ;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lastRenderedPageBreak/>
        <w:t>динамику</w:t>
      </w:r>
      <w:proofErr w:type="gramEnd"/>
      <w:r>
        <w:rPr>
          <w:color w:val="343A40"/>
        </w:rPr>
        <w:t xml:space="preserve"> образовательных результатов с учетом эмоционально-личностных, интеллектуальных, мотивационных и социальных черт участников.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Основываясь на результатах данного этапа,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"наставник - наставляемый".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 xml:space="preserve">Процесс мониторинга влияния программ на всех участников включает два </w:t>
      </w:r>
      <w:proofErr w:type="spellStart"/>
      <w:r>
        <w:rPr>
          <w:color w:val="343A40"/>
        </w:rPr>
        <w:t>подэтапа</w:t>
      </w:r>
      <w:proofErr w:type="spellEnd"/>
      <w:r>
        <w:rPr>
          <w:color w:val="343A40"/>
        </w:rPr>
        <w:t>, первый из которых осуществляется до входа в программу наставничества, а второй - по итогам прохождения программы (Разделы 2.1 и 2.2 Приложения 2 к методическим рекомендациям ведомственного проектного офиса по внедрению целевой модели наставничества).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Соответственно, все зависимые от воздействия программы наставничества параметры фиксируются дважды.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Мониторинг влияния программ наставничества на всех участников направлен на три ключевые цели.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1. Глубокая оценка изучаемых личностных характеристик участников программы.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2. Оценка динамики характеристик образовательного процесса (оценка качества изменений в освоении обучающимися образовательных программ).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3. Анализ и необходимая корректировка сформированных стратегий образования пар "наставник - наставляемый".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Среди задач, решаемых на данном этапе мониторинга, можно выделить: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научное</w:t>
      </w:r>
      <w:proofErr w:type="gramEnd"/>
      <w:r>
        <w:rPr>
          <w:color w:val="343A40"/>
        </w:rPr>
        <w:t xml:space="preserve"> и практическое обоснование требований к процессу организации программы наставничества, к личности наставника;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экспериментальное</w:t>
      </w:r>
      <w:proofErr w:type="gramEnd"/>
      <w:r>
        <w:rPr>
          <w:color w:val="343A40"/>
        </w:rPr>
        <w:t xml:space="preserve"> подтверждение необходимости выдвижения описанных в целевой модели требований к личности наставника;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определение</w:t>
      </w:r>
      <w:proofErr w:type="gramEnd"/>
      <w:r>
        <w:rPr>
          <w:color w:val="343A40"/>
        </w:rPr>
        <w:t xml:space="preserve"> условий эффективной программы наставничества;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lastRenderedPageBreak/>
        <w:t>анализ</w:t>
      </w:r>
      <w:proofErr w:type="gramEnd"/>
      <w:r>
        <w:rPr>
          <w:color w:val="343A40"/>
        </w:rPr>
        <w:t xml:space="preserve"> эффективности предложенных стратегий образования пар и внесение корректировок во все этапы реализации программы в соответствии с результатами;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сравнение</w:t>
      </w:r>
      <w:proofErr w:type="gramEnd"/>
      <w:r>
        <w:rPr>
          <w:color w:val="343A40"/>
        </w:rPr>
        <w:t xml:space="preserve"> характеристик образовательного процесса на "входе" и "выходе" реализуемой программы;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сравнение</w:t>
      </w:r>
      <w:proofErr w:type="gramEnd"/>
      <w:r>
        <w:rPr>
          <w:color w:val="343A40"/>
        </w:rPr>
        <w:t xml:space="preserve"> изучаемых личностных характеристик (вовлеченность, активность, самооценка, тревожность и др.) участников программы наставничества на "входе" и "выходе" реализуемой программы.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Результатом данного этапа мониторинга являются оценка и динамика: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развития</w:t>
      </w:r>
      <w:proofErr w:type="gramEnd"/>
      <w:r>
        <w:rPr>
          <w:color w:val="343A40"/>
        </w:rPr>
        <w:t xml:space="preserve"> гибких навыков участников программы;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уровня</w:t>
      </w:r>
      <w:proofErr w:type="gramEnd"/>
      <w:r>
        <w:rPr>
          <w:color w:val="343A40"/>
        </w:rPr>
        <w:t xml:space="preserve"> </w:t>
      </w:r>
      <w:proofErr w:type="spellStart"/>
      <w:r>
        <w:rPr>
          <w:color w:val="343A40"/>
        </w:rPr>
        <w:t>мотивированности</w:t>
      </w:r>
      <w:proofErr w:type="spellEnd"/>
      <w:r>
        <w:rPr>
          <w:color w:val="343A40"/>
        </w:rPr>
        <w:t xml:space="preserve"> и осознанности участников в вопросах саморазвития и профессионального образования;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качества</w:t>
      </w:r>
      <w:proofErr w:type="gramEnd"/>
      <w:r>
        <w:rPr>
          <w:color w:val="343A40"/>
        </w:rPr>
        <w:t xml:space="preserve"> изменений в освоении обучающимися образовательных программ;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степени</w:t>
      </w:r>
      <w:proofErr w:type="gramEnd"/>
      <w:r>
        <w:rPr>
          <w:color w:val="343A40"/>
        </w:rPr>
        <w:t xml:space="preserve"> включенности обучающихся в образовательные процессы организации;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качества</w:t>
      </w:r>
      <w:proofErr w:type="gramEnd"/>
      <w:r>
        <w:rPr>
          <w:color w:val="343A40"/>
        </w:rPr>
        <w:t xml:space="preserve"> адаптации молодого специалиста на потенциальном месте работы, удовлетворенности педагогов собственной профессиональной деятельностью, а также описание психологического климата в школе.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Все это позволит увидеть, как повлияла программа наставничества на участников, и спрогнозировать их дальнейшее развитие. Другим результатом мониторинга будут данные анализа и внесенные на их основании корректировки в рекомендации наиболее целесообразного объединения участников в пары "наставник - наставляемый".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Оценку степени включенности участников программы в ее этапы, уровень личной удовлетворенности программой и динамики развития различных навыков, а также оценку качества изменений в освоении обучающимися соответствующих образовательных программ можно провести с помощью материалов, представленных в разделах 2.5 и 2.6 Приложения 2 к методическим рекомендациям ведомственного проектного офиса по внедрению целевой модели наставничества.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Среди оцениваемых параметров: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вовлеченность</w:t>
      </w:r>
      <w:proofErr w:type="gramEnd"/>
      <w:r>
        <w:rPr>
          <w:color w:val="343A40"/>
        </w:rPr>
        <w:t xml:space="preserve"> обучающихся в образовательную деятельность;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lastRenderedPageBreak/>
        <w:t>успеваемость</w:t>
      </w:r>
      <w:proofErr w:type="gramEnd"/>
      <w:r>
        <w:rPr>
          <w:color w:val="343A40"/>
        </w:rPr>
        <w:t xml:space="preserve"> обучающихся по основным предметам;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уровень</w:t>
      </w:r>
      <w:proofErr w:type="gramEnd"/>
      <w:r>
        <w:rPr>
          <w:color w:val="343A40"/>
        </w:rPr>
        <w:t xml:space="preserve"> </w:t>
      </w:r>
      <w:proofErr w:type="spellStart"/>
      <w:r>
        <w:rPr>
          <w:color w:val="343A40"/>
        </w:rPr>
        <w:t>сформированности</w:t>
      </w:r>
      <w:proofErr w:type="spellEnd"/>
      <w:r>
        <w:rPr>
          <w:color w:val="343A40"/>
        </w:rPr>
        <w:t xml:space="preserve"> гибких навыков;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желание</w:t>
      </w:r>
      <w:proofErr w:type="gramEnd"/>
      <w:r>
        <w:rPr>
          <w:color w:val="343A40"/>
        </w:rPr>
        <w:t xml:space="preserve"> посещения школы (для обучающихся);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уровень</w:t>
      </w:r>
      <w:proofErr w:type="gramEnd"/>
      <w:r>
        <w:rPr>
          <w:color w:val="343A40"/>
        </w:rPr>
        <w:t xml:space="preserve"> личностной тревожности (для обучающихся);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понимание</w:t>
      </w:r>
      <w:proofErr w:type="gramEnd"/>
      <w:r>
        <w:rPr>
          <w:color w:val="343A40"/>
        </w:rPr>
        <w:t xml:space="preserve"> собственного будущего (для обучающихся);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эмоциональное</w:t>
      </w:r>
      <w:proofErr w:type="gramEnd"/>
      <w:r>
        <w:rPr>
          <w:color w:val="343A40"/>
        </w:rPr>
        <w:t xml:space="preserve"> состояние при посещении школы (для обучающихся);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желание</w:t>
      </w:r>
      <w:proofErr w:type="gramEnd"/>
      <w:r>
        <w:rPr>
          <w:color w:val="343A40"/>
        </w:rPr>
        <w:t xml:space="preserve"> высокой школьной успеваемости (для обучающихся);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уровень</w:t>
      </w:r>
      <w:proofErr w:type="gramEnd"/>
      <w:r>
        <w:rPr>
          <w:color w:val="343A40"/>
        </w:rPr>
        <w:t xml:space="preserve"> профессионального выгорания (для педагогов);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удовлетворенность</w:t>
      </w:r>
      <w:proofErr w:type="gramEnd"/>
      <w:r>
        <w:rPr>
          <w:color w:val="343A40"/>
        </w:rPr>
        <w:t xml:space="preserve"> профессией (для педагогов);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психологический</w:t>
      </w:r>
      <w:proofErr w:type="gramEnd"/>
      <w:r>
        <w:rPr>
          <w:color w:val="343A40"/>
        </w:rPr>
        <w:t xml:space="preserve"> климат в педагогическом коллективе (для педагогов);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успешность</w:t>
      </w:r>
      <w:proofErr w:type="gramEnd"/>
      <w:r>
        <w:rPr>
          <w:color w:val="343A40"/>
        </w:rPr>
        <w:t xml:space="preserve"> (для работодателей);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ожидаемый</w:t>
      </w:r>
      <w:proofErr w:type="gramEnd"/>
      <w:r>
        <w:rPr>
          <w:color w:val="343A40"/>
        </w:rPr>
        <w:t xml:space="preserve"> и реальный уровень включенности (для работодателей);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proofErr w:type="gramStart"/>
      <w:r>
        <w:rPr>
          <w:color w:val="343A40"/>
        </w:rPr>
        <w:t>ожидаемый</w:t>
      </w:r>
      <w:proofErr w:type="gramEnd"/>
      <w:r>
        <w:rPr>
          <w:color w:val="343A40"/>
        </w:rPr>
        <w:t xml:space="preserve"> и реальный процент возможных приглашений на стажировку (для работодателей).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7. Показатели эффективности внедрения целевой модели наставничества в субъектах Российской Федерации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Наименование показателя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2020 г.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2024 г.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Доля детей в возрасте от 10 до 19 лет, проживающих в субъекте Российской Федерации, вошедших в программы наставничества в роли наставляемого, %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10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70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lastRenderedPageBreak/>
        <w:t>(</w:t>
      </w:r>
      <w:proofErr w:type="gramStart"/>
      <w:r>
        <w:rPr>
          <w:color w:val="343A40"/>
        </w:rPr>
        <w:t>отношение</w:t>
      </w:r>
      <w:proofErr w:type="gramEnd"/>
      <w:r>
        <w:rPr>
          <w:color w:val="343A40"/>
        </w:rPr>
        <w:t xml:space="preserve"> количества детей в возрасте от 10 до 19 лет, вошедших в программы наставничества в роли наставляемого, к общему количеству детей, проживающих в субъекте Российской Федерации)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Доля детей и подростков в возрасте от 15 до 19 лет, проживающих в субъекте Российской Федерации, вошедших в программы наставничества в роли наставника, %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2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10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(</w:t>
      </w:r>
      <w:proofErr w:type="gramStart"/>
      <w:r>
        <w:rPr>
          <w:color w:val="343A40"/>
        </w:rPr>
        <w:t>отношение</w:t>
      </w:r>
      <w:proofErr w:type="gramEnd"/>
      <w:r>
        <w:rPr>
          <w:color w:val="343A40"/>
        </w:rPr>
        <w:t xml:space="preserve"> количества детей и подростков в возрасте от 15 до 19 лет, вошедших в программы наставничества в роли наставника, к общему количеству детей и подростков в возрасте от 15 до 19 лет, проживающих в субъекте Российской Федерации)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Доля учителей - молодых специалистов (с опытом работы от 0 до 3 лет), проживающих в субъекте Российской Федерации, вошедших в программы наставничества в роли наставляемого, %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10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70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(</w:t>
      </w:r>
      <w:proofErr w:type="gramStart"/>
      <w:r>
        <w:rPr>
          <w:color w:val="343A40"/>
        </w:rPr>
        <w:t>отношение</w:t>
      </w:r>
      <w:proofErr w:type="gramEnd"/>
      <w:r>
        <w:rPr>
          <w:color w:val="343A40"/>
        </w:rPr>
        <w:t xml:space="preserve"> количества учителей - молодых специалистов, вошедших в программы наставничества в роли наставляемого, к общему количеству учителей - молодых специалистов, проживающих в субъекте Российской Федерации)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Доля предприятий (организаций) от общего количества предприятий, осуществляющих деятельность в субъекте Российской Федерации, вошедших в программы наставничества, предоставив своих наставников, %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2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30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(</w:t>
      </w:r>
      <w:proofErr w:type="gramStart"/>
      <w:r>
        <w:rPr>
          <w:color w:val="343A40"/>
        </w:rPr>
        <w:t>отношение</w:t>
      </w:r>
      <w:proofErr w:type="gramEnd"/>
      <w:r>
        <w:rPr>
          <w:color w:val="343A40"/>
        </w:rPr>
        <w:t xml:space="preserve"> количества предприятий, предоставивших своих сотрудников для участия в программах наставничества в роли наставников, к общему количеству предприятий, осуществляющих деятельность в субъекте Российской Федерации)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Уровень удовлетворенности наставляемых участием в программах наставничества, % (опросный)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lastRenderedPageBreak/>
        <w:t>50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85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(</w:t>
      </w:r>
      <w:proofErr w:type="gramStart"/>
      <w:r>
        <w:rPr>
          <w:color w:val="343A40"/>
        </w:rPr>
        <w:t>отношение</w:t>
      </w:r>
      <w:proofErr w:type="gramEnd"/>
      <w:r>
        <w:rPr>
          <w:color w:val="343A40"/>
        </w:rPr>
        <w:t xml:space="preserve"> количества наставляемых, удовлетворенных участием в программах наставничества, к общему количеству наставляемых, принявших участие в программах наставничества, реализуемых в субъекте Российской Федерации)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Уровень удовлетворенности наставников участием в программах наставничества, % (опросный)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50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85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(</w:t>
      </w:r>
      <w:proofErr w:type="gramStart"/>
      <w:r>
        <w:rPr>
          <w:color w:val="343A40"/>
        </w:rPr>
        <w:t>отношение</w:t>
      </w:r>
      <w:proofErr w:type="gramEnd"/>
      <w:r>
        <w:rPr>
          <w:color w:val="343A40"/>
        </w:rPr>
        <w:t xml:space="preserve"> количества наставников, удовлетворенных участием в программах наставничества, к общему количеству наставников, принявших участие в программах наставничества, реализуемых в субъекте Российской Федерации)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8. Нормативные основы целевой модели наставничества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8.1. Целевая модель наставничества опирается на нормативные правовые акты Российской Федерации и разработана с целью формирования организационно-методической основы для внедрения в субъектах Российской Федерации и последующего развития механизмов наставничества обучающихся образовательных организаций, в том числе с применением лучших практик обмена опытом между обучающимися и привлечением представителей региональных предприятий и организаций к этой деятельности.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Стратегия развития воспитания в Российской Федерации до 2025 года &lt;1&gt; актуализирует задачу объединения усилий с целью реализации единой государственной политики в области воспитания, определения сущностных характеристик современного воспитательного процесса, обмена инновационным опытом, популяризации лучших практик поддержки и раскрытия потенциала детей и подростков, в том числе посредством привлечения волонтеров-наставников.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--------------------------------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&lt;1&gt; Стратегия развития воспитания в Российской Федерации до 2025 года, утвержденная распоряжением Правительства Российской Федерации от 29 мая 2015 г. N 996-р.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lastRenderedPageBreak/>
        <w:t>Нормативные правовые основания такой деятельности в Российской Федерации обеспечиваются рядом документов, соответствующих требованиям международных актов, конвенций, в том числе: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Всеобщей Декларацией добровольчества, принятой на XVI Всемирной конференции Международной ассоциации добровольческих усилий (IAVE, Амстердам, январь, 2001 год);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Конвенцией о правах ребенка, одобренной Генеральной Ассамблеей ООН 20 ноября 1989 г., ратифицированной Постановлением ВС СССР от 13 июня 1990 г. N 1559;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Резолюцией Европейского парламента 2011/2088(INI) от 1 декабря 2011 г. "О предотвращении преждевременного оставления школы".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8.2. Целевая модель наставничества реализуется в целях поддержки формирования личности, саморазвития и раскрытия потенциала обучающегося, педагога или молодого специалиста. Один из способов раскрытия потенциала - формирование активной жизненной позиции обучающихся и стремление заниматься добровольческой деятельностью, способствующей самореализации личности. Нормативную правовую базу этой деятельности в нашей стране в разных сферах на федеральном уровне обеспечивают: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Конституция Российской Федерации;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Гражданский кодекс Российской Федерации;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Трудовой кодекс Российской Федерации;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Федеральный закон от 11 августа 1995 г. N 135-ФЗ "О благотворительной деятельности и благотворительных организациях";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Федеральный закон от 19 мая 1995 г. N 82-ФЗ "Об общественных объединениях";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Федеральный закон от 12 января 1996 г. N 7-ФЗ "О некоммерческих организациях";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Концепция содействия развитию благотворительной деятельности и добровольчества в Российской Федерации на период до 2025 года, утвержденная распоряжением Правительства Российской Федерации от 15 ноября 2019 г. N 2705-р).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8.3. Наставническую деятельность, в том числе в образовательной среде, регламентируют: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lastRenderedPageBreak/>
        <w:t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N 45 от 14 мая 2010 г.);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Основы государственной молодежной политики Российской Федерации на период до 2025 года, утвержденные распоряжением Правительства Российской Федерации от 29 ноября 2014 г. N 2403-Р);</w:t>
      </w:r>
    </w:p>
    <w:p w:rsidR="00FD0E8E" w:rsidRDefault="00FD0E8E" w:rsidP="00FD0E8E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Федеральный закон от 29 декабря 2012 г. N 273-ФЗ "Об образовании в Российской Федерации".</w:t>
      </w:r>
    </w:p>
    <w:p w:rsidR="00FD0E8E" w:rsidRDefault="00FD0E8E" w:rsidP="00FD0E8E">
      <w:pPr>
        <w:pStyle w:val="ar"/>
        <w:shd w:val="clear" w:color="auto" w:fill="F8F9FA"/>
        <w:spacing w:line="390" w:lineRule="atLeast"/>
        <w:jc w:val="right"/>
        <w:rPr>
          <w:color w:val="343A40"/>
        </w:rPr>
      </w:pPr>
      <w:r>
        <w:rPr>
          <w:color w:val="343A40"/>
        </w:rPr>
        <w:t>Приложение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ПРИМЕРНЫЕ ФОРМЫ ДОКУМЕНТОВ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1. Примерная форма базы наставляемых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ФИО наставляемого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Контактные данные для связи (данные представителя)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Год рождения наставляемого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Основной запрос наставляемого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Дата вхождения в программу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ФИО наставника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Форма наставничества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Место работы/учебы наставника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Дата завершения программы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Результаты программы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Ссылка на кейс/отзыв наставляемого, размещенные на сайте организации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Отметка о прохождении программы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1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2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2. Примерная форма базы наставников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ФИО наставника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lastRenderedPageBreak/>
        <w:t>Контактные данные для связи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Место работы/учебы наставника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Основные компетенции наставника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Важные для программы достижения наставника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Интересы наставника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Желаемый возраст наставляемых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Ресурс времени на программу наставничества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Дата вхождения в программу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ФИО наставляемого (наставляемых)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Форма наставничества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Место работы/учебы наставляемого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Дата завершения программы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Результаты программы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Ссылка на кейс/отзыв наставника, размещенные на сайте организации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1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2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3. Примерная форма дорожной карты внедрения целевой модели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proofErr w:type="gramStart"/>
      <w:r>
        <w:rPr>
          <w:color w:val="343A40"/>
        </w:rPr>
        <w:t>наставничества</w:t>
      </w:r>
      <w:proofErr w:type="gramEnd"/>
      <w:r>
        <w:rPr>
          <w:color w:val="343A40"/>
        </w:rPr>
        <w:t xml:space="preserve"> в образовательной организации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Мероприятие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Сроки</w:t>
      </w:r>
    </w:p>
    <w:p w:rsidR="00FD0E8E" w:rsidRDefault="00FD0E8E" w:rsidP="00FD0E8E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Ответственные</w:t>
      </w:r>
    </w:p>
    <w:p w:rsidR="00FD0E8E" w:rsidRDefault="00FD0E8E" w:rsidP="00FD0E8E">
      <w:pPr>
        <w:pStyle w:val="al"/>
        <w:shd w:val="clear" w:color="auto" w:fill="F8F9FA"/>
        <w:spacing w:line="390" w:lineRule="atLeast"/>
        <w:rPr>
          <w:color w:val="343A40"/>
        </w:rPr>
      </w:pPr>
      <w:r>
        <w:rPr>
          <w:color w:val="343A40"/>
        </w:rPr>
        <w:t>Информирование педагогического сообщества образовательной организации о реализации программы наставничества</w:t>
      </w:r>
    </w:p>
    <w:p w:rsidR="00FD0E8E" w:rsidRDefault="00FD0E8E" w:rsidP="00FD0E8E">
      <w:pPr>
        <w:pStyle w:val="al"/>
        <w:shd w:val="clear" w:color="auto" w:fill="F8F9FA"/>
        <w:spacing w:line="390" w:lineRule="atLeast"/>
        <w:rPr>
          <w:color w:val="343A40"/>
        </w:rPr>
      </w:pPr>
      <w:r>
        <w:rPr>
          <w:color w:val="343A40"/>
        </w:rPr>
        <w:t>Информирование родительского сообщества о планируемой реализации программы наставничества</w:t>
      </w:r>
    </w:p>
    <w:p w:rsidR="00FD0E8E" w:rsidRDefault="00FD0E8E" w:rsidP="00FD0E8E">
      <w:pPr>
        <w:pStyle w:val="al"/>
        <w:shd w:val="clear" w:color="auto" w:fill="F8F9FA"/>
        <w:spacing w:line="390" w:lineRule="atLeast"/>
        <w:rPr>
          <w:color w:val="343A40"/>
        </w:rPr>
      </w:pPr>
      <w:r>
        <w:rPr>
          <w:color w:val="343A40"/>
        </w:rPr>
        <w:t>Встреча с сообществом выпускников и/или представителями региональных организаций и предприятий с целью информирования о реализации программы наставничества</w:t>
      </w:r>
    </w:p>
    <w:p w:rsidR="00FD0E8E" w:rsidRDefault="00FD0E8E" w:rsidP="00FD0E8E">
      <w:pPr>
        <w:pStyle w:val="al"/>
        <w:shd w:val="clear" w:color="auto" w:fill="F8F9FA"/>
        <w:spacing w:line="390" w:lineRule="atLeast"/>
        <w:rPr>
          <w:color w:val="343A40"/>
        </w:rPr>
      </w:pPr>
      <w:r>
        <w:rPr>
          <w:color w:val="343A40"/>
        </w:rPr>
        <w:lastRenderedPageBreak/>
        <w:t>Встреча с обучающимися образовательной организации с информированием о реализуемой программе наставничества</w:t>
      </w:r>
    </w:p>
    <w:p w:rsidR="00FD0E8E" w:rsidRDefault="00FD0E8E" w:rsidP="00FD0E8E">
      <w:pPr>
        <w:pStyle w:val="al"/>
        <w:shd w:val="clear" w:color="auto" w:fill="F8F9FA"/>
        <w:spacing w:line="390" w:lineRule="atLeast"/>
        <w:rPr>
          <w:color w:val="343A40"/>
        </w:rPr>
      </w:pPr>
      <w:r>
        <w:rPr>
          <w:color w:val="343A40"/>
        </w:rPr>
        <w:t>Проведение анкетирования среди обучающихся/педагогов, желающих принять участие в программе наставничества. Сбор согласий на сбор и обработку персональных данных от совершеннолетних участников программы</w:t>
      </w:r>
    </w:p>
    <w:p w:rsidR="00FD0E8E" w:rsidRDefault="00FD0E8E" w:rsidP="00FD0E8E">
      <w:pPr>
        <w:pStyle w:val="al"/>
        <w:shd w:val="clear" w:color="auto" w:fill="F8F9FA"/>
        <w:spacing w:line="390" w:lineRule="atLeast"/>
        <w:rPr>
          <w:color w:val="343A40"/>
        </w:rPr>
      </w:pPr>
      <w:r>
        <w:rPr>
          <w:color w:val="343A40"/>
        </w:rPr>
        <w:t>Сбор дополнительной информации о запросах наставляемых (обучающиеся/педагоги) от третьих лиц: классный руководитель, психолог, соцработник, родители. Сбор согласий на сбор и обработку персональных данных от законных представителей несовершеннолетних участников</w:t>
      </w:r>
    </w:p>
    <w:p w:rsidR="00FD0E8E" w:rsidRDefault="00FD0E8E" w:rsidP="00FD0E8E">
      <w:pPr>
        <w:pStyle w:val="al"/>
        <w:shd w:val="clear" w:color="auto" w:fill="F8F9FA"/>
        <w:spacing w:line="390" w:lineRule="atLeast"/>
        <w:rPr>
          <w:color w:val="343A40"/>
        </w:rPr>
      </w:pPr>
      <w:r>
        <w:rPr>
          <w:color w:val="343A40"/>
        </w:rPr>
        <w:t>Анализ полученных от наставляемых и третьих лиц данных. Формирование базы наставляемых</w:t>
      </w:r>
    </w:p>
    <w:p w:rsidR="00FD0E8E" w:rsidRDefault="00FD0E8E" w:rsidP="00FD0E8E">
      <w:pPr>
        <w:pStyle w:val="al"/>
        <w:shd w:val="clear" w:color="auto" w:fill="F8F9FA"/>
        <w:spacing w:line="390" w:lineRule="atLeast"/>
        <w:rPr>
          <w:color w:val="343A40"/>
        </w:rPr>
      </w:pPr>
      <w:r>
        <w:rPr>
          <w:color w:val="343A40"/>
        </w:rPr>
        <w:t>Выбор форм наставничества, реализуемых в рамках текущей программы наставничества</w:t>
      </w:r>
    </w:p>
    <w:p w:rsidR="00FD0E8E" w:rsidRDefault="00FD0E8E" w:rsidP="00FD0E8E">
      <w:pPr>
        <w:pStyle w:val="al"/>
        <w:shd w:val="clear" w:color="auto" w:fill="F8F9FA"/>
        <w:spacing w:line="390" w:lineRule="atLeast"/>
        <w:rPr>
          <w:color w:val="343A40"/>
        </w:rPr>
      </w:pPr>
      <w:r>
        <w:rPr>
          <w:color w:val="343A40"/>
        </w:rPr>
        <w:t>Оценка участников-наставляемых по заданным параметрам, необходимым для будущего сравнения и мониторинга влияния программ на всех участников</w:t>
      </w:r>
    </w:p>
    <w:p w:rsidR="00FD0E8E" w:rsidRDefault="00FD0E8E" w:rsidP="00FD0E8E">
      <w:pPr>
        <w:pStyle w:val="al"/>
        <w:shd w:val="clear" w:color="auto" w:fill="F8F9FA"/>
        <w:spacing w:line="390" w:lineRule="atLeast"/>
        <w:rPr>
          <w:color w:val="343A40"/>
        </w:rPr>
      </w:pPr>
      <w:r>
        <w:rPr>
          <w:color w:val="343A40"/>
        </w:rPr>
        <w:t>Проведение анкетирования среди потенциальных наставников, желающих принять участие в программе наставничества. Сбор согласий на сбор и обработку персональных данных</w:t>
      </w:r>
    </w:p>
    <w:p w:rsidR="00FD0E8E" w:rsidRDefault="00FD0E8E" w:rsidP="00FD0E8E">
      <w:pPr>
        <w:pStyle w:val="al"/>
        <w:shd w:val="clear" w:color="auto" w:fill="F8F9FA"/>
        <w:spacing w:line="390" w:lineRule="atLeast"/>
        <w:rPr>
          <w:color w:val="343A40"/>
        </w:rPr>
      </w:pPr>
      <w:r>
        <w:rPr>
          <w:color w:val="343A40"/>
        </w:rPr>
        <w:t>Анализ заполненных анкет потенциальных наставников и сопоставление данных с анкетами наставляемых. Формирование базы наставников</w:t>
      </w:r>
    </w:p>
    <w:p w:rsidR="00FD0E8E" w:rsidRDefault="00FD0E8E" w:rsidP="00FD0E8E">
      <w:pPr>
        <w:pStyle w:val="al"/>
        <w:shd w:val="clear" w:color="auto" w:fill="F8F9FA"/>
        <w:spacing w:line="390" w:lineRule="atLeast"/>
        <w:rPr>
          <w:color w:val="343A40"/>
        </w:rPr>
      </w:pPr>
      <w:r>
        <w:rPr>
          <w:color w:val="343A40"/>
        </w:rPr>
        <w:t>Оценка участников-наставников по заданным параметрам, необходимым для будущего сравнения и мониторинга влияния программ на всех участников</w:t>
      </w:r>
    </w:p>
    <w:p w:rsidR="00FD0E8E" w:rsidRDefault="00FD0E8E" w:rsidP="00FD0E8E">
      <w:pPr>
        <w:pStyle w:val="al"/>
        <w:shd w:val="clear" w:color="auto" w:fill="F8F9FA"/>
        <w:spacing w:line="390" w:lineRule="atLeast"/>
        <w:rPr>
          <w:color w:val="343A40"/>
        </w:rPr>
      </w:pPr>
      <w:r>
        <w:rPr>
          <w:color w:val="343A40"/>
        </w:rPr>
        <w:t>Проведение собеседования с наставниками (в некоторых случаях с привлечением психолога)</w:t>
      </w:r>
    </w:p>
    <w:p w:rsidR="00FD0E8E" w:rsidRDefault="00FD0E8E" w:rsidP="00FD0E8E">
      <w:pPr>
        <w:pStyle w:val="al"/>
        <w:shd w:val="clear" w:color="auto" w:fill="F8F9FA"/>
        <w:spacing w:line="390" w:lineRule="atLeast"/>
        <w:rPr>
          <w:color w:val="343A40"/>
        </w:rPr>
      </w:pPr>
      <w:r>
        <w:rPr>
          <w:color w:val="343A40"/>
        </w:rPr>
        <w:t>Поиск экспертов и материалов для проведение обучения наставников</w:t>
      </w:r>
    </w:p>
    <w:p w:rsidR="00FD0E8E" w:rsidRDefault="00FD0E8E" w:rsidP="00FD0E8E">
      <w:pPr>
        <w:pStyle w:val="al"/>
        <w:shd w:val="clear" w:color="auto" w:fill="F8F9FA"/>
        <w:spacing w:line="390" w:lineRule="atLeast"/>
        <w:rPr>
          <w:color w:val="343A40"/>
        </w:rPr>
      </w:pPr>
      <w:r>
        <w:rPr>
          <w:color w:val="343A40"/>
        </w:rPr>
        <w:t>Обучение наставников</w:t>
      </w:r>
    </w:p>
    <w:p w:rsidR="00FD0E8E" w:rsidRDefault="00FD0E8E" w:rsidP="00FD0E8E">
      <w:pPr>
        <w:pStyle w:val="al"/>
        <w:shd w:val="clear" w:color="auto" w:fill="F8F9FA"/>
        <w:spacing w:line="390" w:lineRule="atLeast"/>
        <w:rPr>
          <w:color w:val="343A40"/>
        </w:rPr>
      </w:pPr>
      <w:r>
        <w:rPr>
          <w:color w:val="343A40"/>
        </w:rPr>
        <w:t>Организация групповой встречи наставников и наставляемых</w:t>
      </w:r>
    </w:p>
    <w:p w:rsidR="00FD0E8E" w:rsidRDefault="00FD0E8E" w:rsidP="00FD0E8E">
      <w:pPr>
        <w:pStyle w:val="al"/>
        <w:shd w:val="clear" w:color="auto" w:fill="F8F9FA"/>
        <w:spacing w:line="390" w:lineRule="atLeast"/>
        <w:rPr>
          <w:color w:val="343A40"/>
        </w:rPr>
      </w:pPr>
      <w:r>
        <w:rPr>
          <w:color w:val="343A40"/>
        </w:rPr>
        <w:t>Проведение анкетирования на предмет предпочитаемого наставника/наставляемого после завершения групповой встречи</w:t>
      </w:r>
    </w:p>
    <w:p w:rsidR="00FD0E8E" w:rsidRDefault="00FD0E8E" w:rsidP="00FD0E8E">
      <w:pPr>
        <w:pStyle w:val="al"/>
        <w:shd w:val="clear" w:color="auto" w:fill="F8F9FA"/>
        <w:spacing w:line="390" w:lineRule="atLeast"/>
        <w:rPr>
          <w:color w:val="343A40"/>
        </w:rPr>
      </w:pPr>
      <w:r>
        <w:rPr>
          <w:color w:val="343A40"/>
        </w:rPr>
        <w:lastRenderedPageBreak/>
        <w:t>Анализ анкет групповой встречи и соединение наставников и наставляемых в пары</w:t>
      </w:r>
    </w:p>
    <w:p w:rsidR="00FD0E8E" w:rsidRDefault="00FD0E8E" w:rsidP="00FD0E8E">
      <w:pPr>
        <w:pStyle w:val="al"/>
        <w:shd w:val="clear" w:color="auto" w:fill="F8F9FA"/>
        <w:spacing w:line="390" w:lineRule="atLeast"/>
        <w:rPr>
          <w:color w:val="343A40"/>
        </w:rPr>
      </w:pPr>
      <w:r>
        <w:rPr>
          <w:color w:val="343A40"/>
        </w:rPr>
        <w:t>Информирование участников о сложившихся парах/группах. Закрепление пар/групп распоряжением руководителя образовательной организации</w:t>
      </w:r>
    </w:p>
    <w:p w:rsidR="00FD0E8E" w:rsidRDefault="00FD0E8E" w:rsidP="00FD0E8E">
      <w:pPr>
        <w:pStyle w:val="al"/>
        <w:shd w:val="clear" w:color="auto" w:fill="F8F9FA"/>
        <w:spacing w:line="390" w:lineRule="atLeast"/>
        <w:rPr>
          <w:color w:val="343A40"/>
        </w:rPr>
      </w:pPr>
      <w:r>
        <w:rPr>
          <w:color w:val="343A40"/>
        </w:rPr>
        <w:t>Проведение первой, организационной, встречи наставника и наставляемого</w:t>
      </w:r>
    </w:p>
    <w:p w:rsidR="00FD0E8E" w:rsidRDefault="00FD0E8E" w:rsidP="00FD0E8E">
      <w:pPr>
        <w:pStyle w:val="al"/>
        <w:shd w:val="clear" w:color="auto" w:fill="F8F9FA"/>
        <w:spacing w:line="390" w:lineRule="atLeast"/>
        <w:rPr>
          <w:color w:val="343A40"/>
        </w:rPr>
      </w:pPr>
      <w:r>
        <w:rPr>
          <w:color w:val="343A40"/>
        </w:rPr>
        <w:t>Проведение второй, пробной рабочей, встречи наставника и наставляемого</w:t>
      </w:r>
    </w:p>
    <w:p w:rsidR="00FD0E8E" w:rsidRDefault="00FD0E8E" w:rsidP="00FD0E8E">
      <w:pPr>
        <w:pStyle w:val="al"/>
        <w:shd w:val="clear" w:color="auto" w:fill="F8F9FA"/>
        <w:spacing w:line="390" w:lineRule="atLeast"/>
        <w:rPr>
          <w:color w:val="343A40"/>
        </w:rPr>
      </w:pPr>
      <w:r>
        <w:rPr>
          <w:color w:val="343A40"/>
        </w:rPr>
        <w:t>Проведение встречи-планирования рабочего процесса в рамках программы наставничества с наставником и наставляемым</w:t>
      </w:r>
    </w:p>
    <w:p w:rsidR="00FD0E8E" w:rsidRDefault="00FD0E8E" w:rsidP="00FD0E8E">
      <w:pPr>
        <w:pStyle w:val="al"/>
        <w:shd w:val="clear" w:color="auto" w:fill="F8F9FA"/>
        <w:spacing w:line="390" w:lineRule="atLeast"/>
        <w:rPr>
          <w:color w:val="343A40"/>
        </w:rPr>
      </w:pPr>
      <w:r>
        <w:rPr>
          <w:color w:val="343A40"/>
        </w:rPr>
        <w:t>Регулярные встречи наставника и наставляемого</w:t>
      </w:r>
    </w:p>
    <w:p w:rsidR="00FD0E8E" w:rsidRDefault="00FD0E8E" w:rsidP="00FD0E8E">
      <w:pPr>
        <w:pStyle w:val="al"/>
        <w:shd w:val="clear" w:color="auto" w:fill="F8F9FA"/>
        <w:spacing w:line="390" w:lineRule="atLeast"/>
        <w:rPr>
          <w:color w:val="343A40"/>
        </w:rPr>
      </w:pPr>
      <w:r>
        <w:rPr>
          <w:color w:val="343A40"/>
        </w:rPr>
        <w:t>Сроки сбора обратной связи от участников программы наставничества</w:t>
      </w:r>
    </w:p>
    <w:p w:rsidR="00FD0E8E" w:rsidRDefault="00FD0E8E" w:rsidP="00FD0E8E">
      <w:pPr>
        <w:pStyle w:val="al"/>
        <w:shd w:val="clear" w:color="auto" w:fill="F8F9FA"/>
        <w:spacing w:line="390" w:lineRule="atLeast"/>
        <w:rPr>
          <w:color w:val="343A40"/>
        </w:rPr>
      </w:pPr>
      <w:r>
        <w:rPr>
          <w:color w:val="343A40"/>
        </w:rPr>
        <w:t>Проведение заключительной встречи наставника и наставляемого</w:t>
      </w:r>
    </w:p>
    <w:p w:rsidR="00FD0E8E" w:rsidRDefault="00FD0E8E" w:rsidP="00FD0E8E">
      <w:pPr>
        <w:pStyle w:val="al"/>
        <w:shd w:val="clear" w:color="auto" w:fill="F8F9FA"/>
        <w:spacing w:line="390" w:lineRule="atLeast"/>
        <w:rPr>
          <w:color w:val="343A40"/>
        </w:rPr>
      </w:pPr>
      <w:r>
        <w:rPr>
          <w:color w:val="343A40"/>
        </w:rPr>
        <w:t>Проведение групповой заключительной встречи всех пар и групп наставников и наставляемых</w:t>
      </w:r>
    </w:p>
    <w:p w:rsidR="00FD0E8E" w:rsidRDefault="00FD0E8E" w:rsidP="00FD0E8E">
      <w:pPr>
        <w:pStyle w:val="al"/>
        <w:shd w:val="clear" w:color="auto" w:fill="F8F9FA"/>
        <w:spacing w:line="390" w:lineRule="atLeast"/>
        <w:rPr>
          <w:color w:val="343A40"/>
        </w:rPr>
      </w:pPr>
      <w:r>
        <w:rPr>
          <w:color w:val="343A40"/>
        </w:rPr>
        <w:t>Анкетирование участников. Проведение мониторинга личной удовлетворенности участием в программе наставничества</w:t>
      </w:r>
    </w:p>
    <w:p w:rsidR="00FD0E8E" w:rsidRDefault="00FD0E8E" w:rsidP="00FD0E8E">
      <w:pPr>
        <w:pStyle w:val="al"/>
        <w:shd w:val="clear" w:color="auto" w:fill="F8F9FA"/>
        <w:spacing w:line="390" w:lineRule="atLeast"/>
        <w:rPr>
          <w:color w:val="343A40"/>
        </w:rPr>
      </w:pPr>
      <w:r>
        <w:rPr>
          <w:color w:val="343A40"/>
        </w:rPr>
        <w:t>Приглашение на торжественное мероприятие всех участников программы наставничества, их родных, представителей организаций-партнеров, представителей администрации муниципалитета, представителей иных образовательных организаций и некоммерческих организаций</w:t>
      </w:r>
    </w:p>
    <w:p w:rsidR="00FD0E8E" w:rsidRDefault="00FD0E8E" w:rsidP="00FD0E8E">
      <w:pPr>
        <w:pStyle w:val="al"/>
        <w:shd w:val="clear" w:color="auto" w:fill="F8F9FA"/>
        <w:spacing w:line="390" w:lineRule="atLeast"/>
        <w:rPr>
          <w:color w:val="343A40"/>
        </w:rPr>
      </w:pPr>
      <w:r>
        <w:rPr>
          <w:color w:val="343A40"/>
        </w:rPr>
        <w:t>Проведение торжественного мероприятия для подведения итогов программы наставничества и награждения лучших наставников</w:t>
      </w:r>
    </w:p>
    <w:p w:rsidR="00FD0E8E" w:rsidRDefault="00FD0E8E" w:rsidP="00FD0E8E">
      <w:pPr>
        <w:pStyle w:val="al"/>
        <w:shd w:val="clear" w:color="auto" w:fill="F8F9FA"/>
        <w:spacing w:line="390" w:lineRule="atLeast"/>
        <w:rPr>
          <w:color w:val="343A40"/>
        </w:rPr>
      </w:pPr>
      <w:r>
        <w:rPr>
          <w:color w:val="343A40"/>
        </w:rPr>
        <w:t>Проведение мониторинга качества реализации программы наставничества</w:t>
      </w:r>
    </w:p>
    <w:p w:rsidR="00FD0E8E" w:rsidRDefault="00FD0E8E" w:rsidP="00FD0E8E">
      <w:pPr>
        <w:pStyle w:val="al"/>
        <w:shd w:val="clear" w:color="auto" w:fill="F8F9FA"/>
        <w:spacing w:line="390" w:lineRule="atLeast"/>
        <w:rPr>
          <w:color w:val="343A40"/>
        </w:rPr>
      </w:pPr>
      <w:r>
        <w:rPr>
          <w:color w:val="343A40"/>
        </w:rPr>
        <w:t>Оценка участников по заданным параметрам, проведение второго, заключающего этапа мониторинга влияния программ на всех участников</w:t>
      </w:r>
    </w:p>
    <w:p w:rsidR="00FD0E8E" w:rsidRDefault="00FD0E8E" w:rsidP="00FD0E8E">
      <w:pPr>
        <w:pStyle w:val="al"/>
        <w:shd w:val="clear" w:color="auto" w:fill="F8F9FA"/>
        <w:spacing w:line="390" w:lineRule="atLeast"/>
        <w:rPr>
          <w:color w:val="343A40"/>
        </w:rPr>
      </w:pPr>
      <w:r>
        <w:rPr>
          <w:color w:val="343A40"/>
        </w:rPr>
        <w:t>Оформление итогов и процессов совместной работы в рамках программы наставничества в кейсы</w:t>
      </w:r>
    </w:p>
    <w:p w:rsidR="00FD0E8E" w:rsidRDefault="00FD0E8E" w:rsidP="00FD0E8E">
      <w:pPr>
        <w:pStyle w:val="al"/>
        <w:shd w:val="clear" w:color="auto" w:fill="F8F9FA"/>
        <w:spacing w:line="390" w:lineRule="atLeast"/>
        <w:rPr>
          <w:color w:val="343A40"/>
        </w:rPr>
      </w:pPr>
      <w:r>
        <w:rPr>
          <w:color w:val="343A40"/>
        </w:rPr>
        <w:lastRenderedPageBreak/>
        <w:t>Публикация результатов программы наставничества, лучших наставников, кейсов на сайтах образовательной организации и организаций-партнеров</w:t>
      </w:r>
    </w:p>
    <w:p w:rsidR="00FD0E8E" w:rsidRDefault="00FD0E8E" w:rsidP="00FD0E8E">
      <w:pPr>
        <w:pStyle w:val="al"/>
        <w:shd w:val="clear" w:color="auto" w:fill="F8F9FA"/>
        <w:spacing w:line="390" w:lineRule="atLeast"/>
        <w:rPr>
          <w:color w:val="343A40"/>
        </w:rPr>
      </w:pPr>
      <w:r>
        <w:rPr>
          <w:color w:val="343A40"/>
        </w:rPr>
        <w:t>Внесение данных об итогах реализации программы наставничества в базу наставников и базу наставляемых</w:t>
      </w:r>
    </w:p>
    <w:p w:rsidR="00D70FB4" w:rsidRDefault="00D70FB4"/>
    <w:sectPr w:rsidR="00D70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E8E"/>
    <w:rsid w:val="00D70FB4"/>
    <w:rsid w:val="00FD0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54B354-AF8D-471C-9F46-ED445DA78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c">
    <w:name w:val="ac"/>
    <w:basedOn w:val="a"/>
    <w:rsid w:val="00FD0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">
    <w:name w:val="aj"/>
    <w:basedOn w:val="a"/>
    <w:rsid w:val="00FD0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">
    <w:name w:val="ar"/>
    <w:basedOn w:val="a"/>
    <w:rsid w:val="00FD0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">
    <w:name w:val="al"/>
    <w:basedOn w:val="a"/>
    <w:rsid w:val="00FD0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22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32</Pages>
  <Words>7824</Words>
  <Characters>44603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Acer-2</dc:creator>
  <cp:keywords/>
  <dc:description/>
  <cp:lastModifiedBy>Acer-2</cp:lastModifiedBy>
  <cp:revision>1</cp:revision>
  <dcterms:created xsi:type="dcterms:W3CDTF">2022-11-25T05:59:00Z</dcterms:created>
  <dcterms:modified xsi:type="dcterms:W3CDTF">2022-11-25T06:03:00Z</dcterms:modified>
</cp:coreProperties>
</file>